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6236"/>
          </w:tcPr>
          <w:p>
            <w:r>
              <w:rPr>
                <w:b/>
                <w:i w:val="0"/>
                <w:color w:val="E11D48"/>
                <w:sz w:val="26"/>
              </w:rPr>
              <w:t>VOTRE ORGANISATION</w:t>
            </w:r>
          </w:p>
          <w:p>
            <w:pPr>
              <w:spacing w:after="80" w:before="0"/>
              <w:jc w:val="left"/>
            </w:pPr>
            <w:r>
              <w:rPr>
                <w:b w:val="0"/>
                <w:i/>
                <w:color w:val="6B7280"/>
                <w:sz w:val="18"/>
              </w:rPr>
              <w:t>Exemple à adapter et faire valider</w:t>
            </w:r>
          </w:p>
        </w:tc>
        <w:tc>
          <w:tcPr>
            <w:tcW w:type="dxa" w:w="3628"/>
          </w:tcPr>
          <w:p>
            <w:pPr>
              <w:jc w:val="right"/>
            </w:pPr>
            <w:r>
              <w:rPr>
                <w:b/>
                <w:i w:val="0"/>
                <w:color w:val="E11D48"/>
                <w:sz w:val="30"/>
              </w:rPr>
              <w:t>FICHE DE POSTE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11D48"/>
          </w:tcPr>
          <w:p>
            <w:pPr>
              <w:spacing w:before="100"/>
            </w:pPr>
            <w:r>
              <w:rPr>
                <w:b/>
                <w:i w:val="0"/>
                <w:color w:val="F3A9B9"/>
                <w:sz w:val="17"/>
              </w:rPr>
              <w:t>INTITULÉ DU POSTE</w:t>
            </w:r>
          </w:p>
          <w:p>
            <w:pPr>
              <w:spacing w:after="120" w:before="0"/>
              <w:jc w:val="left"/>
            </w:pPr>
            <w:r>
              <w:rPr>
                <w:b/>
                <w:i w:val="0"/>
                <w:color w:val="FFFFFF"/>
                <w:sz w:val="32"/>
              </w:rPr>
              <w:t>Secrétaire général de mairie</w:t>
            </w:r>
          </w:p>
        </w:tc>
      </w:tr>
    </w:tbl>
    <w:p>
      <w:pPr>
        <w:spacing w:after="6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550"/>
        <w:gridCol w:w="2550"/>
        <w:gridCol w:w="2550"/>
        <w:gridCol w:w="2550"/>
      </w:tblGrid>
      <w:tr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SERVICE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[À préciser]</w:t>
            </w:r>
          </w:p>
        </w:tc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RESPONSABLE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[Fonction]</w:t>
            </w:r>
          </w:p>
        </w:tc>
      </w:tr>
      <w:tr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LOCALISATION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[Lieu]</w:t>
            </w:r>
          </w:p>
        </w:tc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VERSION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1.0 — [Date]</w:t>
            </w:r>
          </w:p>
        </w:tc>
      </w:tr>
    </w:tbl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FINALITÉ DU POSTE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9865"/>
            <w:shd w:val="clear" w:color="auto" w:fill="E11D48"/>
          </w:tcPr>
          <w:p>
            <w:pPr>
              <w:spacing w:after="0"/>
            </w:pPr>
            <w:r>
              <w:rPr>
                <w:b w:val="0"/>
                <w:i w:val="0"/>
                <w:color w:val="FFFFFF"/>
                <w:sz w:val="2"/>
              </w:rPr>
            </w:r>
          </w:p>
        </w:tc>
      </w:tr>
    </w:tbl>
    <w:p>
      <w:pPr>
        <w:spacing w:after="20"/>
      </w:pPr>
    </w:p>
    <w:p>
      <w:pPr>
        <w:spacing w:after="60" w:before="0"/>
        <w:jc w:val="left"/>
      </w:pPr>
      <w:r>
        <w:rPr>
          <w:b w:val="0"/>
          <w:i w:val="0"/>
          <w:sz w:val="20"/>
        </w:rPr>
        <w:t>Mettre en œuvre, sous l’autorité du maire, les politiques communales et assurer la coordination administrative, budgétaire et réglementaire de la collectivité.</w:t>
      </w:r>
    </w:p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MISSIONS PRINCIPALES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9865"/>
            <w:shd w:val="clear" w:color="auto" w:fill="E11D48"/>
          </w:tcPr>
          <w:p>
            <w:pPr>
              <w:spacing w:after="0"/>
            </w:pPr>
            <w:r>
              <w:rPr>
                <w:b w:val="0"/>
                <w:i w:val="0"/>
                <w:color w:val="FFFFFF"/>
                <w:sz w:val="2"/>
              </w:rPr>
            </w:r>
          </w:p>
        </w:tc>
      </w:tr>
    </w:tbl>
    <w:p>
      <w:pPr>
        <w:spacing w:after="20"/>
      </w:pPr>
    </w:p>
    <w:p>
      <w:pPr>
        <w:pStyle w:val="ListBullet"/>
        <w:spacing w:after="40"/>
      </w:pPr>
      <w:r>
        <w:rPr>
          <w:b w:val="0"/>
          <w:i w:val="0"/>
          <w:sz w:val="20"/>
        </w:rPr>
        <w:t>Préparer et suivre les actes et réunions de la commune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Élaborer et exécuter le budget avec les interlocuteurs compétents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Organiser l’accueil et les démarches des administrés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Suivre l’état civil, les élections et les dossiers réglementaires</w:t>
      </w:r>
    </w:p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COMPÉTENCES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9865"/>
            <w:shd w:val="clear" w:color="auto" w:fill="E11D48"/>
          </w:tcPr>
          <w:p>
            <w:pPr>
              <w:spacing w:after="0"/>
            </w:pPr>
            <w:r>
              <w:rPr>
                <w:b w:val="0"/>
                <w:i w:val="0"/>
                <w:color w:val="FFFFFF"/>
                <w:sz w:val="2"/>
              </w:rPr>
            </w:r>
          </w:p>
        </w:tc>
      </w:tr>
    </w:tbl>
    <w:p>
      <w:pPr>
        <w:spacing w:after="20"/>
      </w:pP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Savoir-faire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Finances publiques locales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Rédaction des actes</w:t>
      </w: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Comportements professionnels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Polyvalence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Discrétion</w:t>
      </w:r>
    </w:p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CONDITIONS ET RÉUSSITE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9865"/>
            <w:shd w:val="clear" w:color="auto" w:fill="E11D48"/>
          </w:tcPr>
          <w:p>
            <w:pPr>
              <w:spacing w:after="0"/>
            </w:pPr>
            <w:r>
              <w:rPr>
                <w:b w:val="0"/>
                <w:i w:val="0"/>
                <w:color w:val="FFFFFF"/>
                <w:sz w:val="2"/>
              </w:rPr>
            </w:r>
          </w:p>
        </w:tc>
      </w:tr>
    </w:tbl>
    <w:p>
      <w:pPr>
        <w:spacing w:after="20"/>
      </w:pP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Conditions d’exercice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Lien direct avec le maire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Polyvalence forte</w:t>
      </w: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Critères de réussite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Actes transmis dans les délais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Échéances budgétaires tenues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