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top w:val="single" w:sz="12" w:space="4" w:color="4F46E5"/>
              <w:left w:val="single" w:sz="12" w:space="4" w:color="4F46E5"/>
              <w:bottom w:val="single" w:sz="12" w:space="4" w:color="4F46E5"/>
              <w:right w:val="single" w:sz="12" w:space="4" w:color="4F46E5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10200"/>
            </w:tblGrid>
            <w:tr>
              <w:tc>
                <w:tcPr>
                  <w:tcW w:type="dxa" w:w="10200"/>
                  <w:shd w:val="clear" w:color="auto" w:fill="4F46E5"/>
                </w:tcPr>
                <w:p>
                  <w:pPr>
                    <w:spacing w:before="80" w:after="80"/>
                  </w:pPr>
                  <w:r>
                    <w:rPr>
                      <w:b/>
                      <w:i w:val="0"/>
                      <w:color w:val="FFFFFF"/>
                      <w:sz w:val="36"/>
                    </w:rPr>
                    <w:t xml:space="preserve">  AVOIR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5386"/>
                </w:tcPr>
                <w:p>
                  <w:r>
                    <w:rPr>
                      <w:b/>
                      <w:i w:val="0"/>
                      <w:color w:val="1E2935"/>
                      <w:sz w:val="26"/>
                    </w:rPr>
                    <w:t>Mécanica Précision</w:t>
                  </w:r>
                </w:p>
                <w:p>
                  <w:pPr>
                    <w:spacing w:after="100" w:before="0"/>
                    <w:jc w:val="left"/>
                  </w:pPr>
                  <w:r>
                    <w:rPr>
                      <w:b w:val="0"/>
                      <w:i/>
                      <w:color w:val="6B7280"/>
                      <w:sz w:val="20"/>
                    </w:rPr>
                    <w:t>Pièces industrielles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ZI des Forges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42000 Saint-Étienne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SARL · SIRET 439 128 774 00019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RCS Saint-Étienne · TVA FR 32 439128774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export@mecanica.fr</w:t>
                  </w:r>
                </w:p>
              </w:tc>
              <w:tc>
                <w:tcPr>
                  <w:tcW w:type="dxa" w:w="3855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one"/>
                      <w:left w:val="none"/>
                      <w:bottom w:val="none"/>
                      <w:right w:val="none"/>
                      <w:insideH w:val="none"/>
                      <w:insideV w:val="none"/>
                    </w:tblBorders>
                  </w:tblPr>
                  <w:tblGrid>
                    <w:gridCol w:w="1927"/>
                    <w:gridCol w:w="1927"/>
                  </w:tblGrid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N° d’avoir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AV-2026-009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Date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07/07/2026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Réf. facture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F-2026-061</w:t>
                        </w:r>
                      </w:p>
                    </w:tc>
                  </w:tr>
                </w:tbl>
                <w:p/>
              </w:tc>
            </w:tr>
          </w:tbl>
          <w:p/>
          <w:p>
            <w:pPr>
              <w:spacing w:after="40"/>
            </w:pP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Boulangerie Pain &amp; Cie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8 place du Marché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69003 Lyon</w:t>
            </w:r>
          </w:p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040"/>
              <w:gridCol w:w="2040"/>
              <w:gridCol w:w="2040"/>
              <w:gridCol w:w="2040"/>
              <w:gridCol w:w="2040"/>
            </w:tblGrid>
            <w:tr>
              <w:tc>
                <w:tcPr>
                  <w:tcW w:type="dxa" w:w="4737"/>
                  <w:shd w:val="clear" w:color="auto" w:fill="4F46E5"/>
                </w:tcPr>
                <w:p>
                  <w:pPr>
                    <w:spacing w:before="60" w:after="60"/>
                    <w:jc w:val="lef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Désignation</w:t>
                  </w:r>
                </w:p>
              </w:tc>
              <w:tc>
                <w:tcPr>
                  <w:tcW w:type="dxa" w:w="806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Qté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P.U. HT</w:t>
                  </w:r>
                </w:p>
              </w:tc>
              <w:tc>
                <w:tcPr>
                  <w:tcW w:type="dxa" w:w="907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TVA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Total HT</w:t>
                  </w:r>
                </w:p>
              </w:tc>
            </w:tr>
            <w:tr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lef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Retour de 3 articles réf. MX-12 — remboursement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3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− 40,00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20 %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− 120,00</w:t>
                  </w:r>
                </w:p>
              </w:tc>
            </w:tr>
          </w:tbl>
          <w:p/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right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Total HT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− 120,00 €</w:t>
                  </w:r>
                </w:p>
              </w:tc>
            </w:tr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TVA (20 %)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− 24,00 €</w:t>
                  </w:r>
                </w:p>
              </w:tc>
            </w:tr>
            <w:tr>
              <w:tc>
                <w:tcPr>
                  <w:tcW w:type="dxa" w:w="2721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2"/>
                    </w:rPr>
                    <w:t>Total TTC</w:t>
                  </w:r>
                </w:p>
              </w:tc>
              <w:tc>
                <w:tcPr>
                  <w:tcW w:type="dxa" w:w="1928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6"/>
                    </w:rPr>
                    <w:t>− 144,00 €</w:t>
                  </w:r>
                </w:p>
              </w:tc>
            </w:tr>
          </w:tbl>
          <w:p/>
        </w:tc>
      </w:tr>
    </w:tbl>
    <w:p>
      <w:pPr>
        <w:spacing w:after="12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Avoir établi après réception des articles retournés en bon état.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