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0F766E"/>
                <w:sz w:val="15"/>
              </w:rPr>
              <w:t>EXPÉDITEUR</w:t>
            </w:r>
          </w:p>
          <w:p>
            <w:pPr>
              <w:spacing w:after="0"/>
            </w:pPr>
            <w:r>
              <w:rPr>
                <w:rFonts w:ascii="Aptos" w:hAnsi="Aptos"/>
                <w:b/>
                <w:i w:val="0"/>
                <w:color w:val="172033"/>
                <w:sz w:val="18"/>
              </w:rPr>
              <w:t>Yanis David</w:t>
            </w:r>
          </w:p>
          <w:p>
            <w:pPr>
              <w:spacing w:after="0"/>
            </w:pPr>
            <w:r>
              <w:rPr>
                <w:rFonts w:ascii="Aptos" w:hAnsi="Aptos"/>
                <w:b w:val="0"/>
                <w:i w:val="0"/>
                <w:color w:val="172033"/>
                <w:sz w:val="18"/>
              </w:rPr>
              <w:t>13 rue du Port</w:t>
            </w:r>
          </w:p>
          <w:p>
            <w:pPr>
              <w:spacing w:after="0"/>
            </w:pPr>
            <w:r>
              <w:rPr>
                <w:rFonts w:ascii="Aptos" w:hAnsi="Aptos"/>
                <w:b w:val="0"/>
                <w:i w:val="0"/>
                <w:color w:val="172033"/>
                <w:sz w:val="18"/>
              </w:rPr>
              <w:t>56000 Vannes</w:t>
            </w:r>
          </w:p>
        </w:tc>
        <w:tc>
          <w:tcPr>
            <w:tcW w:type="dxa" w:w="4989"/>
            <w:vAlign w:val="top"/>
            <w:tcMar>
              <w:top w:w="70" w:type="dxa"/>
              <w:start w:w="120" w:type="dxa"/>
              <w:bottom w:w="70" w:type="dxa"/>
              <w:end w:w="120" w:type="dxa"/>
            </w:tcMar>
            <w:shd w:fill="CCFBF1"/>
          </w:tcPr>
          <w:p>
            <w:r/>
            <w:r>
              <w:rPr>
                <w:rFonts w:ascii="Aptos" w:hAnsi="Aptos"/>
                <w:b/>
                <w:i w:val="0"/>
                <w:color w:val="0F766E"/>
                <w:sz w:val="15"/>
              </w:rPr>
              <w:t>DESTINATAIRE</w:t>
            </w:r>
          </w:p>
          <w:p>
            <w:pPr>
              <w:spacing w:after="0"/>
            </w:pPr>
            <w:r>
              <w:rPr>
                <w:rFonts w:ascii="Aptos" w:hAnsi="Aptos"/>
                <w:b/>
                <w:i w:val="0"/>
                <w:color w:val="172033"/>
                <w:sz w:val="18"/>
              </w:rPr>
              <w:t>Club Forme Atlantique — salle fictive</w:t>
            </w:r>
          </w:p>
          <w:p>
            <w:pPr>
              <w:spacing w:after="0"/>
            </w:pPr>
            <w:r>
              <w:rPr>
                <w:rFonts w:ascii="Aptos" w:hAnsi="Aptos"/>
                <w:b w:val="0"/>
                <w:i w:val="0"/>
                <w:color w:val="172033"/>
                <w:sz w:val="18"/>
              </w:rPr>
              <w:t>Service abonnements</w:t>
            </w:r>
          </w:p>
          <w:p>
            <w:pPr>
              <w:spacing w:after="0"/>
            </w:pPr>
            <w:r>
              <w:rPr>
                <w:rFonts w:ascii="Aptos" w:hAnsi="Aptos"/>
                <w:b w:val="0"/>
                <w:i w:val="0"/>
                <w:color w:val="172033"/>
                <w:sz w:val="18"/>
              </w:rPr>
              <w:t>2 rue du Port · 56000 Vannes</w:t>
            </w:r>
          </w:p>
        </w:tc>
      </w:tr>
    </w:tbl>
    <w:p>
      <w:pPr>
        <w:spacing w:after="0"/>
      </w:pPr>
    </w:p>
    <w:p>
      <w:pPr>
        <w:spacing w:after="100"/>
        <w:jc w:val="right"/>
      </w:pPr>
      <w:r>
        <w:rPr>
          <w:rFonts w:ascii="Aptos" w:hAnsi="Aptos"/>
          <w:b w:val="0"/>
          <w:i w:val="0"/>
          <w:color w:val="475569"/>
          <w:sz w:val="18"/>
        </w:rPr>
        <w:t>Vannes,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CCFBF1"/>
            <w:tcMar>
              <w:top w:w="70" w:type="dxa"/>
              <w:start w:w="100" w:type="dxa"/>
              <w:bottom w:w="70" w:type="dxa"/>
              <w:end w:w="100" w:type="dxa"/>
            </w:tcMar>
          </w:tcPr>
          <w:p>
            <w:pPr>
              <w:spacing w:after="0"/>
            </w:pPr>
            <w:r/>
            <w:r>
              <w:rPr>
                <w:rFonts w:ascii="Aptos" w:hAnsi="Aptos"/>
                <w:b/>
                <w:i w:val="0"/>
                <w:color w:val="0F766E"/>
                <w:sz w:val="14"/>
              </w:rPr>
              <w:t>ADHÉRENT</w:t>
              <w:br/>
            </w:r>
            <w:r>
              <w:rPr>
                <w:rFonts w:ascii="Aptos" w:hAnsi="Aptos"/>
                <w:b w:val="0"/>
                <w:i w:val="0"/>
                <w:color w:val="172033"/>
                <w:sz w:val="17"/>
              </w:rPr>
              <w:t>CFA-2025-1842</w:t>
            </w:r>
          </w:p>
        </w:tc>
        <w:tc>
          <w:tcPr>
            <w:tcW w:type="dxa" w:w="3289"/>
            <w:shd w:fill="CCFBF1"/>
            <w:tcMar>
              <w:top w:w="70" w:type="dxa"/>
              <w:start w:w="100" w:type="dxa"/>
              <w:bottom w:w="70" w:type="dxa"/>
              <w:end w:w="100" w:type="dxa"/>
            </w:tcMar>
          </w:tcPr>
          <w:p>
            <w:pPr>
              <w:spacing w:after="0"/>
            </w:pPr>
            <w:r/>
            <w:r>
              <w:rPr>
                <w:rFonts w:ascii="Aptos" w:hAnsi="Aptos"/>
                <w:b/>
                <w:i w:val="0"/>
                <w:color w:val="0F766E"/>
                <w:sz w:val="14"/>
              </w:rPr>
              <w:t>BADGE</w:t>
              <w:br/>
            </w:r>
            <w:r>
              <w:rPr>
                <w:rFonts w:ascii="Aptos" w:hAnsi="Aptos"/>
                <w:b w:val="0"/>
                <w:i w:val="0"/>
                <w:color w:val="172033"/>
                <w:sz w:val="17"/>
              </w:rPr>
              <w:t>VAN-6614</w:t>
            </w:r>
          </w:p>
        </w:tc>
        <w:tc>
          <w:tcPr>
            <w:tcW w:type="dxa" w:w="3289"/>
            <w:shd w:fill="CCFBF1"/>
            <w:tcMar>
              <w:top w:w="70" w:type="dxa"/>
              <w:start w:w="100" w:type="dxa"/>
              <w:bottom w:w="70" w:type="dxa"/>
              <w:end w:w="100" w:type="dxa"/>
            </w:tcMar>
          </w:tcPr>
          <w:p>
            <w:pPr>
              <w:spacing w:after="0"/>
            </w:pPr>
            <w:r/>
            <w:r>
              <w:rPr>
                <w:rFonts w:ascii="Aptos" w:hAnsi="Aptos"/>
                <w:b/>
                <w:i w:val="0"/>
                <w:color w:val="0F766E"/>
                <w:sz w:val="14"/>
              </w:rPr>
              <w:t>ÉCHÉANCE</w:t>
              <w:br/>
            </w:r>
            <w:r>
              <w:rPr>
                <w:rFonts w:ascii="Aptos" w:hAnsi="Aptos"/>
                <w:b w:val="0"/>
                <w:i w:val="0"/>
                <w:color w:val="172033"/>
                <w:sz w:val="17"/>
              </w:rPr>
              <w:t>30/09/2026</w:t>
            </w:r>
          </w:p>
        </w:tc>
      </w:tr>
    </w:tbl>
    <w:p>
      <w:pPr>
        <w:spacing w:after="0"/>
      </w:pPr>
    </w:p>
    <w:p>
      <w:pPr>
        <w:spacing w:after="80"/>
      </w:pPr>
      <w:r>
        <w:rPr>
          <w:rFonts w:ascii="Aptos" w:hAnsi="Aptos"/>
          <w:b/>
          <w:i w:val="0"/>
          <w:color w:val="0F766E"/>
          <w:sz w:val="17"/>
        </w:rPr>
        <w:t>Lettre recommandée avec avis de réception</w:t>
      </w:r>
    </w:p>
    <w:p>
      <w:pPr>
        <w:keepLines/>
        <w:widowControl/>
        <w:spacing w:after="160"/>
      </w:pPr>
      <w:r>
        <w:rPr>
          <w:rFonts w:ascii="Aptos" w:hAnsi="Aptos"/>
          <w:b/>
          <w:i w:val="0"/>
          <w:color w:val="0F766E"/>
          <w:sz w:val="22"/>
        </w:rPr>
        <w:t xml:space="preserve">Objet : </w:t>
      </w:r>
      <w:r>
        <w:rPr>
          <w:rFonts w:ascii="Aptos" w:hAnsi="Aptos"/>
          <w:b/>
          <w:i w:val="0"/>
          <w:color w:val="172033"/>
          <w:sz w:val="22"/>
        </w:rPr>
        <w:t>Non-renouvellement de l'abonnement à l'échéance du 30 septembre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informe que je ne souhaite pas renouveler mon abonnement annuel au-delà du 30 septembre 2026. Cette notification respecte le préavis de deux mois prévu à l'article 7 du contrat signé le 1er octobre 2025.</w:t>
      </w:r>
    </w:p>
    <w:p>
      <w:pPr>
        <w:keepLines/>
        <w:widowControl/>
        <w:spacing w:after="120"/>
        <w:ind w:firstLine="312"/>
        <w:jc w:val="both"/>
      </w:pPr>
      <w:r>
        <w:rPr>
          <w:rFonts w:ascii="Aptos" w:hAnsi="Aptos"/>
          <w:b w:val="0"/>
          <w:i w:val="0"/>
          <w:color w:val="172033"/>
          <w:sz w:val="20"/>
        </w:rPr>
        <w:t>Je continuerai à accéder aux installations et à régler les mensualités jusqu'à cette échéance. Merci de ne pas lancer une nouvelle période d'engagement ni de prélèvement correspondant à octobre 2026.</w:t>
      </w:r>
    </w:p>
    <w:p>
      <w:pPr>
        <w:keepLines/>
        <w:widowControl/>
        <w:spacing w:after="120"/>
        <w:ind w:firstLine="312"/>
        <w:jc w:val="both"/>
      </w:pPr>
      <w:r>
        <w:rPr>
          <w:rFonts w:ascii="Aptos" w:hAnsi="Aptos"/>
          <w:b w:val="0"/>
          <w:i w:val="0"/>
          <w:color w:val="172033"/>
          <w:sz w:val="20"/>
        </w:rPr>
        <w:t>Je restituerai le badge VAN-6614 à l'accueil le dernier jour d'accès et demanderai un reçu. Je vous remercie de m'envoyer la confirmation de non-renouvellement avec la date exacte de désactivation.</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0F766E"/>
                <w:sz w:val="14"/>
              </w:rPr>
              <w:t>PIÈCES JOINTES</w:t>
            </w:r>
          </w:p>
          <w:p>
            <w:pPr>
              <w:pStyle w:val="ListBullet"/>
              <w:spacing w:after="0"/>
            </w:pPr>
            <w:r>
              <w:rPr>
                <w:rFonts w:ascii="Aptos" w:hAnsi="Aptos"/>
                <w:b w:val="0"/>
                <w:i w:val="0"/>
                <w:color w:val="475569"/>
                <w:sz w:val="16"/>
              </w:rPr>
              <w:t>Contrat d'adhésion — article 7</w:t>
            </w:r>
          </w:p>
          <w:p>
            <w:pPr>
              <w:pStyle w:val="ListBullet"/>
              <w:spacing w:after="0"/>
            </w:pPr>
            <w:r>
              <w:rPr>
                <w:rFonts w:ascii="Aptos" w:hAnsi="Aptos"/>
                <w:b w:val="0"/>
                <w:i w:val="0"/>
                <w:color w:val="475569"/>
                <w:sz w:val="16"/>
              </w:rPr>
              <w:t>Dernier échéancier de prélèvements</w:t>
            </w:r>
          </w:p>
        </w:tc>
        <w:tc>
          <w:tcPr>
            <w:tcW w:type="dxa" w:w="3118"/>
          </w:tcPr>
          <w:p>
            <w:pPr>
              <w:jc w:val="center"/>
            </w:pPr>
            <w:r/>
            <w:r>
              <w:rPr>
                <w:rFonts w:ascii="Aptos" w:hAnsi="Aptos"/>
                <w:b/>
                <w:i w:val="0"/>
                <w:color w:val="0F766E"/>
                <w:sz w:val="14"/>
              </w:rPr>
              <w:t>Signature</w:t>
            </w:r>
          </w:p>
          <w:p>
            <w:pPr>
              <w:spacing w:before="180"/>
              <w:jc w:val="center"/>
            </w:pPr>
            <w:r>
              <w:rPr>
                <w:rFonts w:ascii="Aptos" w:hAnsi="Aptos"/>
                <w:b/>
                <w:i w:val="0"/>
                <w:color w:val="172033"/>
                <w:sz w:val="20"/>
              </w:rPr>
              <w:t>Yanis David</w:t>
            </w:r>
          </w:p>
        </w:tc>
      </w:tr>
    </w:tbl>
    <w:p>
      <w:pPr>
        <w:spacing w:before="80" w:after="0"/>
      </w:pPr>
      <w:r>
        <w:rPr>
          <w:rFonts w:ascii="Aptos" w:hAnsi="Aptos"/>
          <w:b/>
          <w:i w:val="0"/>
          <w:color w:val="0F766E"/>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0F766E"/>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