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4535"/>
            <w:vAlign w:val="top"/>
            <w:tcMar>
              <w:top w:w="70" w:type="dxa"/>
              <w:start w:w="120" w:type="dxa"/>
              <w:bottom w:w="70" w:type="dxa"/>
              <w:end w:w="120" w:type="dxa"/>
            </w:tcMar>
          </w:tcPr>
          <w:p>
            <w:r/>
            <w:r>
              <w:rPr>
                <w:rFonts w:ascii="Aptos" w:hAnsi="Aptos"/>
                <w:b/>
                <w:i w:val="0"/>
                <w:color w:val="0F766E"/>
                <w:sz w:val="15"/>
              </w:rPr>
              <w:t>EXPÉDITEUR</w:t>
            </w:r>
          </w:p>
          <w:p>
            <w:pPr>
              <w:spacing w:after="0"/>
            </w:pPr>
            <w:r>
              <w:rPr>
                <w:rFonts w:ascii="Aptos" w:hAnsi="Aptos"/>
                <w:b/>
                <w:i w:val="0"/>
                <w:color w:val="172033"/>
                <w:sz w:val="18"/>
              </w:rPr>
              <w:t>Mehdi Vincent</w:t>
            </w:r>
          </w:p>
          <w:p>
            <w:pPr>
              <w:spacing w:after="0"/>
            </w:pPr>
            <w:r>
              <w:rPr>
                <w:rFonts w:ascii="Aptos" w:hAnsi="Aptos"/>
                <w:b w:val="0"/>
                <w:i w:val="0"/>
                <w:color w:val="172033"/>
                <w:sz w:val="18"/>
              </w:rPr>
              <w:t>4 avenue de l'Europe</w:t>
            </w:r>
          </w:p>
          <w:p>
            <w:pPr>
              <w:spacing w:after="0"/>
            </w:pPr>
            <w:r>
              <w:rPr>
                <w:rFonts w:ascii="Aptos" w:hAnsi="Aptos"/>
                <w:b w:val="0"/>
                <w:i w:val="0"/>
                <w:color w:val="172033"/>
                <w:sz w:val="18"/>
              </w:rPr>
              <w:t>64000 Pau</w:t>
            </w:r>
          </w:p>
        </w:tc>
        <w:tc>
          <w:tcPr>
            <w:tcW w:type="dxa" w:w="4989"/>
            <w:vAlign w:val="top"/>
            <w:tcMar>
              <w:top w:w="70" w:type="dxa"/>
              <w:start w:w="120" w:type="dxa"/>
              <w:bottom w:w="70" w:type="dxa"/>
              <w:end w:w="120" w:type="dxa"/>
            </w:tcMar>
            <w:shd w:fill="CCFBF1"/>
          </w:tcPr>
          <w:p>
            <w:r/>
            <w:r>
              <w:rPr>
                <w:rFonts w:ascii="Aptos" w:hAnsi="Aptos"/>
                <w:b/>
                <w:i w:val="0"/>
                <w:color w:val="0F766E"/>
                <w:sz w:val="15"/>
              </w:rPr>
              <w:t>DESTINATAIRE</w:t>
            </w:r>
          </w:p>
          <w:p>
            <w:pPr>
              <w:spacing w:after="0"/>
            </w:pPr>
            <w:r>
              <w:rPr>
                <w:rFonts w:ascii="Aptos" w:hAnsi="Aptos"/>
                <w:b/>
                <w:i w:val="0"/>
                <w:color w:val="172033"/>
                <w:sz w:val="18"/>
              </w:rPr>
              <w:t>Réseau Énergie Gym — salle fictive</w:t>
            </w:r>
          </w:p>
          <w:p>
            <w:pPr>
              <w:spacing w:after="0"/>
            </w:pPr>
            <w:r>
              <w:rPr>
                <w:rFonts w:ascii="Aptos" w:hAnsi="Aptos"/>
                <w:b w:val="0"/>
                <w:i w:val="0"/>
                <w:color w:val="172033"/>
                <w:sz w:val="18"/>
              </w:rPr>
              <w:t>Service relations adhérents</w:t>
            </w:r>
          </w:p>
          <w:p>
            <w:pPr>
              <w:spacing w:after="0"/>
            </w:pPr>
            <w:r>
              <w:rPr>
                <w:rFonts w:ascii="Aptos" w:hAnsi="Aptos"/>
                <w:b w:val="0"/>
                <w:i w:val="0"/>
                <w:color w:val="172033"/>
                <w:sz w:val="18"/>
              </w:rPr>
              <w:t>9 place Clemenceau · 64000 Pau</w:t>
            </w:r>
          </w:p>
        </w:tc>
      </w:tr>
    </w:tbl>
    <w:p>
      <w:pPr>
        <w:spacing w:after="0"/>
      </w:pPr>
    </w:p>
    <w:p>
      <w:pPr>
        <w:spacing w:after="100"/>
        <w:jc w:val="right"/>
      </w:pPr>
      <w:r>
        <w:rPr>
          <w:rFonts w:ascii="Aptos" w:hAnsi="Aptos"/>
          <w:b w:val="0"/>
          <w:i w:val="0"/>
          <w:color w:val="475569"/>
          <w:sz w:val="18"/>
        </w:rPr>
        <w:t>Pau, le 17 juillet 2026</w:t>
      </w:r>
    </w:p>
    <w:tbl>
      <w:tblPr>
        <w:tblW w:type="auto" w:w="0"/>
        <w:jc w:val="center"/>
        <w:tblLayout w:type="autofit"/>
        <w:tblLook w:firstColumn="1" w:firstRow="1" w:lastColumn="0" w:lastRow="0" w:noHBand="0" w:noVBand="1" w:val="04A0"/>
      </w:tblPr>
      <w:tblGrid>
        <w:gridCol w:w="3289"/>
        <w:gridCol w:w="3289"/>
        <w:gridCol w:w="3289"/>
      </w:tblGrid>
      <w:tr>
        <w:tc>
          <w:tcPr>
            <w:tcW w:type="dxa" w:w="3289"/>
            <w:shd w:fill="CCFBF1"/>
            <w:tcMar>
              <w:top w:w="70" w:type="dxa"/>
              <w:start w:w="100" w:type="dxa"/>
              <w:bottom w:w="70" w:type="dxa"/>
              <w:end w:w="100" w:type="dxa"/>
            </w:tcMar>
          </w:tcPr>
          <w:p>
            <w:pPr>
              <w:spacing w:after="0"/>
            </w:pPr>
            <w:r/>
            <w:r>
              <w:rPr>
                <w:rFonts w:ascii="Aptos" w:hAnsi="Aptos"/>
                <w:b/>
                <w:i w:val="0"/>
                <w:color w:val="0F766E"/>
                <w:sz w:val="14"/>
              </w:rPr>
              <w:t>CONTRAT</w:t>
              <w:br/>
            </w:r>
            <w:r>
              <w:rPr>
                <w:rFonts w:ascii="Aptos" w:hAnsi="Aptos"/>
                <w:b w:val="0"/>
                <w:i w:val="0"/>
                <w:color w:val="172033"/>
                <w:sz w:val="17"/>
              </w:rPr>
              <w:t>REG-PAU-77108</w:t>
            </w:r>
          </w:p>
        </w:tc>
        <w:tc>
          <w:tcPr>
            <w:tcW w:type="dxa" w:w="3289"/>
            <w:shd w:fill="CCFBF1"/>
            <w:tcMar>
              <w:top w:w="70" w:type="dxa"/>
              <w:start w:w="100" w:type="dxa"/>
              <w:bottom w:w="70" w:type="dxa"/>
              <w:end w:w="100" w:type="dxa"/>
            </w:tcMar>
          </w:tcPr>
          <w:p>
            <w:pPr>
              <w:spacing w:after="0"/>
            </w:pPr>
            <w:r/>
            <w:r>
              <w:rPr>
                <w:rFonts w:ascii="Aptos" w:hAnsi="Aptos"/>
                <w:b/>
                <w:i w:val="0"/>
                <w:color w:val="0F766E"/>
                <w:sz w:val="14"/>
              </w:rPr>
              <w:t>ADHÉRENT</w:t>
              <w:br/>
            </w:r>
            <w:r>
              <w:rPr>
                <w:rFonts w:ascii="Aptos" w:hAnsi="Aptos"/>
                <w:b w:val="0"/>
                <w:i w:val="0"/>
                <w:color w:val="172033"/>
                <w:sz w:val="17"/>
              </w:rPr>
              <w:t>MV-64116</w:t>
            </w:r>
          </w:p>
        </w:tc>
        <w:tc>
          <w:tcPr>
            <w:tcW w:type="dxa" w:w="3289"/>
            <w:shd w:fill="CCFBF1"/>
            <w:tcMar>
              <w:top w:w="70" w:type="dxa"/>
              <w:start w:w="100" w:type="dxa"/>
              <w:bottom w:w="70" w:type="dxa"/>
              <w:end w:w="100" w:type="dxa"/>
            </w:tcMar>
          </w:tcPr>
          <w:p>
            <w:pPr>
              <w:spacing w:after="0"/>
            </w:pPr>
            <w:r/>
            <w:r>
              <w:rPr>
                <w:rFonts w:ascii="Aptos" w:hAnsi="Aptos"/>
                <w:b/>
                <w:i w:val="0"/>
                <w:color w:val="0F766E"/>
                <w:sz w:val="14"/>
              </w:rPr>
              <w:t>DÉMÉNAGEMENT</w:t>
              <w:br/>
            </w:r>
            <w:r>
              <w:rPr>
                <w:rFonts w:ascii="Aptos" w:hAnsi="Aptos"/>
                <w:b w:val="0"/>
                <w:i w:val="0"/>
                <w:color w:val="172033"/>
                <w:sz w:val="17"/>
              </w:rPr>
              <w:t>01/08/2026</w:t>
            </w:r>
          </w:p>
        </w:tc>
      </w:tr>
    </w:tbl>
    <w:p>
      <w:pPr>
        <w:spacing w:after="0"/>
      </w:pPr>
    </w:p>
    <w:p>
      <w:pPr>
        <w:spacing w:after="80"/>
      </w:pPr>
      <w:r>
        <w:rPr>
          <w:rFonts w:ascii="Aptos" w:hAnsi="Aptos"/>
          <w:b/>
          <w:i w:val="0"/>
          <w:color w:val="0F766E"/>
          <w:sz w:val="17"/>
        </w:rPr>
        <w:t>Dépôt depuis l'espace adhérent et copie recommandée</w:t>
      </w:r>
    </w:p>
    <w:p>
      <w:pPr>
        <w:keepLines/>
        <w:widowControl/>
        <w:spacing w:after="160"/>
      </w:pPr>
      <w:r>
        <w:rPr>
          <w:rFonts w:ascii="Aptos" w:hAnsi="Aptos"/>
          <w:b/>
          <w:i w:val="0"/>
          <w:color w:val="0F766E"/>
          <w:sz w:val="22"/>
        </w:rPr>
        <w:t xml:space="preserve">Objet : </w:t>
      </w:r>
      <w:r>
        <w:rPr>
          <w:rFonts w:ascii="Aptos" w:hAnsi="Aptos"/>
          <w:b/>
          <w:i w:val="0"/>
          <w:color w:val="172033"/>
          <w:sz w:val="22"/>
        </w:rPr>
        <w:t>Résiliation anticipée pour déménagement à 186 km du club le plus proche</w:t>
      </w:r>
    </w:p>
    <w:p>
      <w:pPr>
        <w:spacing w:after="120"/>
      </w:pPr>
      <w:r>
        <w:rPr>
          <w:rFonts w:ascii="Aptos" w:hAnsi="Aptos"/>
          <w:b w:val="0"/>
          <w:i w:val="0"/>
          <w:color w:val="172033"/>
          <w:sz w:val="20"/>
        </w:rPr>
        <w:t>Madame, Monsieur,</w:t>
      </w:r>
    </w:p>
    <w:p>
      <w:pPr>
        <w:keepLines/>
        <w:widowControl/>
        <w:spacing w:after="120"/>
        <w:ind w:firstLine="312"/>
        <w:jc w:val="both"/>
      </w:pPr>
      <w:r>
        <w:rPr>
          <w:rFonts w:ascii="Aptos" w:hAnsi="Aptos"/>
          <w:b w:val="0"/>
          <w:i w:val="0"/>
          <w:color w:val="172033"/>
          <w:sz w:val="20"/>
        </w:rPr>
        <w:t>Je déménage à Saint-Gaudens le 1er août 2026. D'après la liste des établissements publiée par le réseau, aucun club partenaire ne se trouve dans le rayon de cinquante kilomètres prévu à l'article 12 de mon abonnement.</w:t>
      </w:r>
    </w:p>
    <w:p>
      <w:pPr>
        <w:keepLines/>
        <w:widowControl/>
        <w:spacing w:after="120"/>
        <w:ind w:firstLine="312"/>
        <w:jc w:val="both"/>
      </w:pPr>
      <w:r>
        <w:rPr>
          <w:rFonts w:ascii="Aptos" w:hAnsi="Aptos"/>
          <w:b w:val="0"/>
          <w:i w:val="0"/>
          <w:color w:val="172033"/>
          <w:sz w:val="20"/>
        </w:rPr>
        <w:t>Je sollicite donc l'application de la clause de motif légitime liée au déménagement. Le contrat de location joint établit ma nouvelle résidence ; la copie de la liste des clubs consultée le 17 juillet documente l'absence d'établissement dans le rayon contractuel.</w:t>
      </w:r>
    </w:p>
    <w:p>
      <w:pPr>
        <w:keepLines/>
        <w:widowControl/>
        <w:spacing w:after="120"/>
        <w:ind w:firstLine="312"/>
        <w:jc w:val="both"/>
      </w:pPr>
      <w:r>
        <w:rPr>
          <w:rFonts w:ascii="Aptos" w:hAnsi="Aptos"/>
          <w:b w:val="0"/>
          <w:i w:val="0"/>
          <w:color w:val="172033"/>
          <w:sz w:val="20"/>
        </w:rPr>
        <w:t>Merci de confirmer la date d'effet après contrôle des justificatifs et d'indiquer les modalités de restitution du bracelet d'accès REG-8802. Je réglerai les sommes dues jusqu'à la date acceptée, sans interrompre unilatéralement les prélèvements.</w:t>
      </w:r>
    </w:p>
    <w:p>
      <w:pPr>
        <w:spacing w:after="140"/>
        <w:jc w:val="both"/>
      </w:pPr>
      <w:r>
        <w:rPr>
          <w:rFonts w:ascii="Aptos" w:hAnsi="Aptos"/>
          <w:b w:val="0"/>
          <w:i w:val="0"/>
          <w:color w:val="172033"/>
          <w:sz w:val="20"/>
        </w:rPr>
        <w:t>Je vous remercie de me confirmer par écrit la date d'effet retenue et, le cas échéant, le solde restant ou le remboursement dû. Veuillez agréer, Madame, Monsieur, l'expression de mes salutations distinguées.</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5953"/>
          </w:tcPr>
          <w:p>
            <w:r/>
            <w:r>
              <w:rPr>
                <w:rFonts w:ascii="Aptos" w:hAnsi="Aptos"/>
                <w:b/>
                <w:i w:val="0"/>
                <w:color w:val="0F766E"/>
                <w:sz w:val="14"/>
              </w:rPr>
              <w:t>PIÈCES JOINTES</w:t>
            </w:r>
          </w:p>
          <w:p>
            <w:pPr>
              <w:pStyle w:val="ListBullet"/>
              <w:spacing w:after="0"/>
            </w:pPr>
            <w:r>
              <w:rPr>
                <w:rFonts w:ascii="Aptos" w:hAnsi="Aptos"/>
                <w:b w:val="0"/>
                <w:i w:val="0"/>
                <w:color w:val="475569"/>
                <w:sz w:val="16"/>
              </w:rPr>
              <w:t>Bail du nouveau logement prenant effet le 1er août 2026</w:t>
            </w:r>
          </w:p>
          <w:p>
            <w:pPr>
              <w:pStyle w:val="ListBullet"/>
              <w:spacing w:after="0"/>
            </w:pPr>
            <w:r>
              <w:rPr>
                <w:rFonts w:ascii="Aptos" w:hAnsi="Aptos"/>
                <w:b w:val="0"/>
                <w:i w:val="0"/>
                <w:color w:val="475569"/>
                <w:sz w:val="16"/>
              </w:rPr>
              <w:t>Copie datée de la clause 12 et de la liste des clubs</w:t>
            </w:r>
          </w:p>
        </w:tc>
        <w:tc>
          <w:tcPr>
            <w:tcW w:type="dxa" w:w="3118"/>
          </w:tcPr>
          <w:p>
            <w:pPr>
              <w:jc w:val="center"/>
            </w:pPr>
            <w:r/>
            <w:r>
              <w:rPr>
                <w:rFonts w:ascii="Aptos" w:hAnsi="Aptos"/>
                <w:b/>
                <w:i w:val="0"/>
                <w:color w:val="0F766E"/>
                <w:sz w:val="14"/>
              </w:rPr>
              <w:t>Signature</w:t>
            </w:r>
          </w:p>
          <w:p>
            <w:pPr>
              <w:spacing w:before="180"/>
              <w:jc w:val="center"/>
            </w:pPr>
            <w:r>
              <w:rPr>
                <w:rFonts w:ascii="Aptos" w:hAnsi="Aptos"/>
                <w:b/>
                <w:i w:val="0"/>
                <w:color w:val="172033"/>
                <w:sz w:val="20"/>
              </w:rPr>
              <w:t>Mehdi Vincent</w:t>
            </w:r>
          </w:p>
        </w:tc>
      </w:tr>
    </w:tbl>
    <w:p>
      <w:pPr>
        <w:spacing w:before="80" w:after="0"/>
      </w:pPr>
      <w:r>
        <w:rPr>
          <w:rFonts w:ascii="Aptos" w:hAnsi="Aptos"/>
          <w:b/>
          <w:i w:val="0"/>
          <w:color w:val="0F766E"/>
          <w:sz w:val="15"/>
        </w:rPr>
        <w:t xml:space="preserve">À CONSERVER · </w:t>
      </w:r>
      <w:r>
        <w:rPr>
          <w:rFonts w:ascii="Aptos" w:hAnsi="Aptos"/>
          <w:b w:val="0"/>
          <w:i w:val="0"/>
          <w:color w:val="475569"/>
          <w:sz w:val="15"/>
        </w:rPr>
        <w:t>Le déménagement n'est pas un motif automatique : vérifier la distance, le réseau et les justificatifs prévus par le contrat.</w:t>
      </w:r>
    </w:p>
    <w:sectPr w:rsidR="00FC693F" w:rsidRPr="0006063C" w:rsidSect="00034616">
      <w:headerReference w:type="default" r:id="rId9"/>
      <w:footerReference w:type="default" r:id="rId10"/>
      <w:pgSz w:w="11906" w:h="16838"/>
      <w:pgMar w:top="822" w:right="1020" w:bottom="765"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b w:val="0"/>
        <w:i w:val="0"/>
        <w:color w:val="64748B"/>
        <w:sz w:val="14"/>
      </w:rPr>
      <w:t>Document Word personnalisable — vérifier le contrat et le droit applicable avant envoi</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ptos" w:hAnsi="Aptos"/>
        <w:b/>
        <w:i w:val="0"/>
        <w:color w:val="0F766E"/>
        <w:sz w:val="14"/>
      </w:rPr>
      <w:t>EXEMPLE REMPLI · DONNÉES FICTIVES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9" w:lineRule="auto"/>
    </w:pPr>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