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334155"/>
                <w:sz w:val="15"/>
              </w:rPr>
              <w:t>EXPÉDITEUR</w:t>
            </w:r>
          </w:p>
          <w:p>
            <w:pPr>
              <w:spacing w:after="0"/>
            </w:pPr>
            <w:r>
              <w:rPr>
                <w:rFonts w:ascii="Aptos" w:hAnsi="Aptos"/>
                <w:b/>
                <w:i w:val="0"/>
                <w:color w:val="172033"/>
                <w:sz w:val="18"/>
              </w:rPr>
              <w:t>Sarah Fontaine</w:t>
            </w:r>
          </w:p>
          <w:p>
            <w:pPr>
              <w:spacing w:after="0"/>
            </w:pPr>
            <w:r>
              <w:rPr>
                <w:rFonts w:ascii="Aptos" w:hAnsi="Aptos"/>
                <w:b w:val="0"/>
                <w:i w:val="0"/>
                <w:color w:val="172033"/>
                <w:sz w:val="18"/>
              </w:rPr>
              <w:t>3 quai de la Loire</w:t>
            </w:r>
          </w:p>
          <w:p>
            <w:pPr>
              <w:spacing w:after="0"/>
            </w:pPr>
            <w:r>
              <w:rPr>
                <w:rFonts w:ascii="Aptos" w:hAnsi="Aptos"/>
                <w:b w:val="0"/>
                <w:i w:val="0"/>
                <w:color w:val="172033"/>
                <w:sz w:val="18"/>
              </w:rPr>
              <w:t>75019 Paris</w:t>
            </w:r>
          </w:p>
        </w:tc>
        <w:tc>
          <w:tcPr>
            <w:tcW w:type="dxa" w:w="4989"/>
            <w:vAlign w:val="top"/>
            <w:tcMar>
              <w:top w:w="70" w:type="dxa"/>
              <w:start w:w="120" w:type="dxa"/>
              <w:bottom w:w="70" w:type="dxa"/>
              <w:end w:w="120" w:type="dxa"/>
            </w:tcMar>
            <w:shd w:fill="E2E8F0"/>
          </w:tcPr>
          <w:p>
            <w:r/>
            <w:r>
              <w:rPr>
                <w:rFonts w:ascii="Aptos" w:hAnsi="Aptos"/>
                <w:b/>
                <w:i w:val="0"/>
                <w:color w:val="334155"/>
                <w:sz w:val="15"/>
              </w:rPr>
              <w:t>DESTINATAIRE</w:t>
            </w:r>
          </w:p>
          <w:p>
            <w:pPr>
              <w:spacing w:after="0"/>
            </w:pPr>
            <w:r>
              <w:rPr>
                <w:rFonts w:ascii="Aptos" w:hAnsi="Aptos"/>
                <w:b/>
                <w:i w:val="0"/>
                <w:color w:val="172033"/>
                <w:sz w:val="18"/>
              </w:rPr>
              <w:t>Solutions Habitat Paris — société fictive</w:t>
            </w:r>
          </w:p>
          <w:p>
            <w:pPr>
              <w:spacing w:after="0"/>
            </w:pPr>
            <w:r>
              <w:rPr>
                <w:rFonts w:ascii="Aptos" w:hAnsi="Aptos"/>
                <w:b w:val="0"/>
                <w:i w:val="0"/>
                <w:color w:val="172033"/>
                <w:sz w:val="18"/>
              </w:rPr>
              <w:t>Direction des contrats</w:t>
            </w:r>
          </w:p>
          <w:p>
            <w:pPr>
              <w:spacing w:after="0"/>
            </w:pPr>
            <w:r>
              <w:rPr>
                <w:rFonts w:ascii="Aptos" w:hAnsi="Aptos"/>
                <w:b w:val="0"/>
                <w:i w:val="0"/>
                <w:color w:val="172033"/>
                <w:sz w:val="18"/>
              </w:rPr>
              <w:t>40 avenue de Flandre · 75019 Paris</w:t>
            </w:r>
          </w:p>
        </w:tc>
      </w:tr>
    </w:tbl>
    <w:p>
      <w:pPr>
        <w:spacing w:after="0"/>
      </w:pPr>
    </w:p>
    <w:p>
      <w:pPr>
        <w:spacing w:after="100"/>
        <w:jc w:val="right"/>
      </w:pPr>
      <w:r>
        <w:rPr>
          <w:rFonts w:ascii="Aptos" w:hAnsi="Aptos"/>
          <w:b w:val="0"/>
          <w:i w:val="0"/>
          <w:color w:val="475569"/>
          <w:sz w:val="18"/>
        </w:rPr>
        <w:t>Paris,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E2E8F0"/>
            <w:tcMar>
              <w:top w:w="70" w:type="dxa"/>
              <w:start w:w="100" w:type="dxa"/>
              <w:bottom w:w="70" w:type="dxa"/>
              <w:end w:w="100" w:type="dxa"/>
            </w:tcMar>
          </w:tcPr>
          <w:p>
            <w:pPr>
              <w:spacing w:after="0"/>
            </w:pPr>
            <w:r/>
            <w:r>
              <w:rPr>
                <w:rFonts w:ascii="Aptos" w:hAnsi="Aptos"/>
                <w:b/>
                <w:i w:val="0"/>
                <w:color w:val="334155"/>
                <w:sz w:val="14"/>
              </w:rPr>
              <w:t>CONTRAT</w:t>
              <w:br/>
            </w:r>
            <w:r>
              <w:rPr>
                <w:rFonts w:ascii="Aptos" w:hAnsi="Aptos"/>
                <w:b w:val="0"/>
                <w:i w:val="0"/>
                <w:color w:val="172033"/>
                <w:sz w:val="17"/>
              </w:rPr>
              <w:t>SHP-MNT-22190</w:t>
            </w:r>
          </w:p>
        </w:tc>
        <w:tc>
          <w:tcPr>
            <w:tcW w:type="dxa" w:w="3289"/>
            <w:shd w:fill="E2E8F0"/>
            <w:tcMar>
              <w:top w:w="70" w:type="dxa"/>
              <w:start w:w="100" w:type="dxa"/>
              <w:bottom w:w="70" w:type="dxa"/>
              <w:end w:w="100" w:type="dxa"/>
            </w:tcMar>
          </w:tcPr>
          <w:p>
            <w:pPr>
              <w:spacing w:after="0"/>
            </w:pPr>
            <w:r/>
            <w:r>
              <w:rPr>
                <w:rFonts w:ascii="Aptos" w:hAnsi="Aptos"/>
                <w:b/>
                <w:i w:val="0"/>
                <w:color w:val="334155"/>
                <w:sz w:val="14"/>
              </w:rPr>
              <w:t>ÉQUIPEMENT</w:t>
              <w:br/>
            </w:r>
            <w:r>
              <w:rPr>
                <w:rFonts w:ascii="Aptos" w:hAnsi="Aptos"/>
                <w:b w:val="0"/>
                <w:i w:val="0"/>
                <w:color w:val="172033"/>
                <w:sz w:val="17"/>
              </w:rPr>
              <w:t>Adoucisseur AQ-42</w:t>
            </w:r>
          </w:p>
        </w:tc>
        <w:tc>
          <w:tcPr>
            <w:tcW w:type="dxa" w:w="3289"/>
            <w:shd w:fill="E2E8F0"/>
            <w:tcMar>
              <w:top w:w="70" w:type="dxa"/>
              <w:start w:w="100" w:type="dxa"/>
              <w:bottom w:w="70" w:type="dxa"/>
              <w:end w:w="100" w:type="dxa"/>
            </w:tcMar>
          </w:tcPr>
          <w:p>
            <w:pPr>
              <w:spacing w:after="0"/>
            </w:pPr>
            <w:r/>
            <w:r>
              <w:rPr>
                <w:rFonts w:ascii="Aptos" w:hAnsi="Aptos"/>
                <w:b/>
                <w:i w:val="0"/>
                <w:color w:val="334155"/>
                <w:sz w:val="14"/>
              </w:rPr>
              <w:t>TERME</w:t>
              <w:br/>
            </w:r>
            <w:r>
              <w:rPr>
                <w:rFonts w:ascii="Aptos" w:hAnsi="Aptos"/>
                <w:b w:val="0"/>
                <w:i w:val="0"/>
                <w:color w:val="172033"/>
                <w:sz w:val="17"/>
              </w:rPr>
              <w:t>31/10/2026</w:t>
            </w:r>
          </w:p>
        </w:tc>
      </w:tr>
    </w:tbl>
    <w:p>
      <w:pPr>
        <w:spacing w:after="0"/>
      </w:pPr>
    </w:p>
    <w:p>
      <w:pPr>
        <w:spacing w:after="80"/>
      </w:pPr>
      <w:r>
        <w:rPr>
          <w:rFonts w:ascii="Aptos" w:hAnsi="Aptos"/>
          <w:b/>
          <w:i w:val="0"/>
          <w:color w:val="334155"/>
          <w:sz w:val="17"/>
        </w:rPr>
        <w:t>Lettre recommandée avec avis de réception</w:t>
      </w:r>
    </w:p>
    <w:p>
      <w:pPr>
        <w:keepLines/>
        <w:widowControl/>
        <w:spacing w:after="160"/>
      </w:pPr>
      <w:r>
        <w:rPr>
          <w:rFonts w:ascii="Aptos" w:hAnsi="Aptos"/>
          <w:b/>
          <w:i w:val="0"/>
          <w:color w:val="334155"/>
          <w:sz w:val="22"/>
        </w:rPr>
        <w:t xml:space="preserve">Objet : </w:t>
      </w:r>
      <w:r>
        <w:rPr>
          <w:rFonts w:ascii="Aptos" w:hAnsi="Aptos"/>
          <w:b/>
          <w:i w:val="0"/>
          <w:color w:val="172033"/>
          <w:sz w:val="22"/>
        </w:rPr>
        <w:t>Non-renouvellement du contrat de maintenance au 31 octobre 2026</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Le contrat de maintenance SHP-MNT-22190 est conclu jusqu'au 31 octobre 2026 et prévoit une notification au moins trois mois avant le terme pour éviter son renouvellement. Je vous informe que je ne souhaite pas le poursuivre au-delà de cette date.</w:t>
      </w:r>
    </w:p>
    <w:p>
      <w:pPr>
        <w:keepLines/>
        <w:widowControl/>
        <w:spacing w:after="120"/>
        <w:ind w:firstLine="312"/>
        <w:jc w:val="both"/>
      </w:pPr>
      <w:r>
        <w:rPr>
          <w:rFonts w:ascii="Aptos" w:hAnsi="Aptos"/>
          <w:b w:val="0"/>
          <w:i w:val="0"/>
          <w:color w:val="172033"/>
          <w:sz w:val="20"/>
        </w:rPr>
        <w:t>La visite annuelle planifiée le 7 septembre 2026 reste maintenue et sera réglée conformément au forfait déjà appelé. En revanche, aucune intervention ni cotisation ne devra être programmée pour la période postérieure au 31 octobre.</w:t>
      </w:r>
    </w:p>
    <w:p>
      <w:pPr>
        <w:keepLines/>
        <w:widowControl/>
        <w:spacing w:after="120"/>
        <w:ind w:firstLine="312"/>
        <w:jc w:val="both"/>
      </w:pPr>
      <w:r>
        <w:rPr>
          <w:rFonts w:ascii="Aptos" w:hAnsi="Aptos"/>
          <w:b w:val="0"/>
          <w:i w:val="0"/>
          <w:color w:val="172033"/>
          <w:sz w:val="20"/>
        </w:rPr>
        <w:t>Je vous remercie de confirmer la fermeture du dossier, le sort de l'historique de maintenance et l'absence de reconduction. Cette lettre ne remet pas en cause les garanties légales ou commerciales déjà acquises sur les interventions réalisées.</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334155"/>
                <w:sz w:val="14"/>
              </w:rPr>
              <w:t>PIÈCES JOINTES</w:t>
            </w:r>
          </w:p>
          <w:p>
            <w:pPr>
              <w:pStyle w:val="ListBullet"/>
              <w:spacing w:after="0"/>
            </w:pPr>
            <w:r>
              <w:rPr>
                <w:rFonts w:ascii="Aptos" w:hAnsi="Aptos"/>
                <w:b w:val="0"/>
                <w:i w:val="0"/>
                <w:color w:val="475569"/>
                <w:sz w:val="16"/>
              </w:rPr>
              <w:t>Conditions particulières — durée et renouvellement</w:t>
            </w:r>
          </w:p>
          <w:p>
            <w:pPr>
              <w:pStyle w:val="ListBullet"/>
              <w:spacing w:after="0"/>
            </w:pPr>
            <w:r>
              <w:rPr>
                <w:rFonts w:ascii="Aptos" w:hAnsi="Aptos"/>
                <w:b w:val="0"/>
                <w:i w:val="0"/>
                <w:color w:val="475569"/>
                <w:sz w:val="16"/>
              </w:rPr>
              <w:t>Planning de maintenance 2026</w:t>
            </w:r>
          </w:p>
        </w:tc>
        <w:tc>
          <w:tcPr>
            <w:tcW w:type="dxa" w:w="3118"/>
          </w:tcPr>
          <w:p>
            <w:pPr>
              <w:jc w:val="center"/>
            </w:pPr>
            <w:r/>
            <w:r>
              <w:rPr>
                <w:rFonts w:ascii="Aptos" w:hAnsi="Aptos"/>
                <w:b/>
                <w:i w:val="0"/>
                <w:color w:val="334155"/>
                <w:sz w:val="14"/>
              </w:rPr>
              <w:t>Signature</w:t>
            </w:r>
          </w:p>
          <w:p>
            <w:pPr>
              <w:spacing w:before="180"/>
              <w:jc w:val="center"/>
            </w:pPr>
            <w:r>
              <w:rPr>
                <w:rFonts w:ascii="Aptos" w:hAnsi="Aptos"/>
                <w:b/>
                <w:i w:val="0"/>
                <w:color w:val="172033"/>
                <w:sz w:val="20"/>
              </w:rPr>
              <w:t>Sarah Fontaine</w:t>
            </w:r>
          </w:p>
        </w:tc>
      </w:tr>
    </w:tbl>
    <w:p>
      <w:pPr>
        <w:spacing w:before="80" w:after="0"/>
      </w:pPr>
      <w:r>
        <w:rPr>
          <w:rFonts w:ascii="Aptos" w:hAnsi="Aptos"/>
          <w:b/>
          <w:i w:val="0"/>
          <w:color w:val="334155"/>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334155"/>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