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Maya Chevalier</w:t>
            </w:r>
          </w:p>
          <w:p>
            <w:pPr>
              <w:spacing w:after="0"/>
            </w:pPr>
            <w:r>
              <w:rPr>
                <w:rFonts w:ascii="Aptos" w:hAnsi="Aptos"/>
                <w:b w:val="0"/>
                <w:i w:val="0"/>
                <w:color w:val="172033"/>
                <w:sz w:val="18"/>
              </w:rPr>
              <w:t>28 avenue des Alpes</w:t>
            </w:r>
          </w:p>
          <w:p>
            <w:pPr>
              <w:spacing w:after="0"/>
            </w:pPr>
            <w:r>
              <w:rPr>
                <w:rFonts w:ascii="Aptos" w:hAnsi="Aptos"/>
                <w:b w:val="0"/>
                <w:i w:val="0"/>
                <w:color w:val="172033"/>
                <w:sz w:val="18"/>
              </w:rPr>
              <w:t>38000 Grenoble</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Rénov'Isère — société fictive</w:t>
            </w:r>
          </w:p>
          <w:p>
            <w:pPr>
              <w:spacing w:after="0"/>
            </w:pPr>
            <w:r>
              <w:rPr>
                <w:rFonts w:ascii="Aptos" w:hAnsi="Aptos"/>
                <w:b w:val="0"/>
                <w:i w:val="0"/>
                <w:color w:val="172033"/>
                <w:sz w:val="18"/>
              </w:rPr>
              <w:t>Service juridique</w:t>
            </w:r>
          </w:p>
          <w:p>
            <w:pPr>
              <w:spacing w:after="0"/>
            </w:pPr>
            <w:r>
              <w:rPr>
                <w:rFonts w:ascii="Aptos" w:hAnsi="Aptos"/>
                <w:b w:val="0"/>
                <w:i w:val="0"/>
                <w:color w:val="172033"/>
                <w:sz w:val="18"/>
              </w:rPr>
              <w:t>19 quai Claude-Bernard · 38000 Grenoble</w:t>
            </w:r>
          </w:p>
        </w:tc>
      </w:tr>
    </w:tbl>
    <w:p>
      <w:pPr>
        <w:spacing w:after="0"/>
      </w:pPr>
    </w:p>
    <w:p>
      <w:pPr>
        <w:spacing w:after="100"/>
        <w:jc w:val="right"/>
      </w:pPr>
      <w:r>
        <w:rPr>
          <w:rFonts w:ascii="Aptos" w:hAnsi="Aptos"/>
          <w:b w:val="0"/>
          <w:i w:val="0"/>
          <w:color w:val="475569"/>
          <w:sz w:val="18"/>
        </w:rPr>
        <w:t>Grenoble,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CONTRAT</w:t>
              <w:br/>
            </w:r>
            <w:r>
              <w:rPr>
                <w:rFonts w:ascii="Aptos" w:hAnsi="Aptos"/>
                <w:b w:val="0"/>
                <w:i w:val="0"/>
                <w:color w:val="172033"/>
                <w:sz w:val="17"/>
              </w:rPr>
              <w:t>RI-CHANT-2026-114</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MISE EN DEMEURE</w:t>
              <w:br/>
            </w:r>
            <w:r>
              <w:rPr>
                <w:rFonts w:ascii="Aptos" w:hAnsi="Aptos"/>
                <w:b w:val="0"/>
                <w:i w:val="0"/>
                <w:color w:val="172033"/>
                <w:sz w:val="17"/>
              </w:rPr>
              <w:t>Reçue le 22/06/2026</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DÉLAI IMPARTI</w:t>
              <w:br/>
            </w:r>
            <w:r>
              <w:rPr>
                <w:rFonts w:ascii="Aptos" w:hAnsi="Aptos"/>
                <w:b w:val="0"/>
                <w:i w:val="0"/>
                <w:color w:val="172033"/>
                <w:sz w:val="17"/>
              </w:rPr>
              <w:t>15 jours</w:t>
            </w:r>
          </w:p>
        </w:tc>
      </w:tr>
    </w:tbl>
    <w:p>
      <w:pPr>
        <w:spacing w:after="0"/>
      </w:pPr>
    </w:p>
    <w:p>
      <w:pPr>
        <w:spacing w:after="80"/>
      </w:pPr>
      <w:r>
        <w:rPr>
          <w:rFonts w:ascii="Aptos" w:hAnsi="Aptos"/>
          <w:b/>
          <w:i w:val="0"/>
          <w:color w:val="334155"/>
          <w:sz w:val="17"/>
        </w:rPr>
        <w:t>Lettre recommandée avec avis de réception</w:t>
      </w:r>
    </w:p>
    <w:p>
      <w:pPr>
        <w:keepLines/>
        <w:widowControl/>
        <w:spacing w:after="160"/>
      </w:pPr>
      <w:r>
        <w:rPr>
          <w:rFonts w:ascii="Aptos" w:hAnsi="Aptos"/>
          <w:b/>
          <w:i w:val="0"/>
          <w:color w:val="334155"/>
          <w:sz w:val="22"/>
        </w:rPr>
        <w:t xml:space="preserve">Objet : </w:t>
      </w:r>
      <w:r>
        <w:rPr>
          <w:rFonts w:ascii="Aptos" w:hAnsi="Aptos"/>
          <w:b/>
          <w:i w:val="0"/>
          <w:color w:val="172033"/>
          <w:sz w:val="22"/>
        </w:rPr>
        <w:t>Notification de résolution du contrat après mise en demeure du 18 juin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Par lettre recommandée reçue le 22 juin 2026, je vous ai mis en demeure de reprendre les infiltrations du balcon et de produire l'attestation d'assurance prévue au contrat, dans un délai de quinze jours. Ce délai est expiré sans intervention ni réponse motivée.</w:t>
      </w:r>
    </w:p>
    <w:p>
      <w:pPr>
        <w:keepLines/>
        <w:widowControl/>
        <w:spacing w:after="120"/>
        <w:ind w:firstLine="312"/>
        <w:jc w:val="both"/>
      </w:pPr>
      <w:r>
        <w:rPr>
          <w:rFonts w:ascii="Aptos" w:hAnsi="Aptos"/>
          <w:b w:val="0"/>
          <w:i w:val="0"/>
          <w:color w:val="172033"/>
          <w:sz w:val="20"/>
        </w:rPr>
        <w:t>Ces manquements empêchent l'usage normal de l'ouvrage et présentent, au regard des pièces conservées, une gravité suffisante. Je vous notifie donc la résolution du contrat sur le fondement invoqué dans ma mise en demeure, conformément à l'article 1226 du code civil, à mes risques et périls.</w:t>
      </w:r>
    </w:p>
    <w:p>
      <w:pPr>
        <w:keepLines/>
        <w:widowControl/>
        <w:spacing w:after="120"/>
        <w:ind w:firstLine="312"/>
        <w:jc w:val="both"/>
      </w:pPr>
      <w:r>
        <w:rPr>
          <w:rFonts w:ascii="Aptos" w:hAnsi="Aptos"/>
          <w:b w:val="0"/>
          <w:i w:val="0"/>
          <w:color w:val="172033"/>
          <w:sz w:val="20"/>
        </w:rPr>
        <w:t>Je vous demande de sécuriser le chantier, de restituer les clés et de m'adresser sous huit jours un décompte détaillé des seules prestations exécutées et acceptées. Je me réserve les droits attachés aux désordres et aux sommes contestées ; cette démarche sera soumise à mon conseil.</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Mise en demeure et avis de réception</w:t>
            </w:r>
          </w:p>
          <w:p>
            <w:pPr>
              <w:pStyle w:val="ListBullet"/>
              <w:spacing w:after="0"/>
            </w:pPr>
            <w:r>
              <w:rPr>
                <w:rFonts w:ascii="Aptos" w:hAnsi="Aptos"/>
                <w:b w:val="0"/>
                <w:i w:val="0"/>
                <w:color w:val="475569"/>
                <w:sz w:val="16"/>
              </w:rPr>
              <w:t>Constat photographique daté</w:t>
            </w:r>
          </w:p>
          <w:p>
            <w:pPr>
              <w:pStyle w:val="ListBullet"/>
              <w:spacing w:after="0"/>
            </w:pPr>
            <w:r>
              <w:rPr>
                <w:rFonts w:ascii="Aptos" w:hAnsi="Aptos"/>
                <w:b w:val="0"/>
                <w:i w:val="0"/>
                <w:color w:val="475569"/>
                <w:sz w:val="16"/>
              </w:rPr>
              <w:t>Contrat et calendrier des travaux</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Maya Chevalier</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La résolution unilatérale est exercée aux risques du créancier : faire vérifier le dossier lorsque l'enjeu est important.</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