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c>
          <w:tcPr>
            <w:tcW w:type="dxa" w:w="6236"/>
          </w:tcPr>
          <w:p>
            <w:r>
              <w:rPr>
                <w:b/>
                <w:i w:val="0"/>
                <w:color w:val="E11D48"/>
                <w:sz w:val="26"/>
              </w:rPr>
              <w:t>VOTRE ORGANISATION</w:t>
            </w:r>
          </w:p>
          <w:p>
            <w:pPr>
              <w:spacing w:after="80" w:before="0"/>
              <w:jc w:val="left"/>
            </w:pPr>
            <w:r>
              <w:rPr>
                <w:b w:val="0"/>
                <w:i/>
                <w:color w:val="6B7280"/>
                <w:sz w:val="18"/>
              </w:rPr>
              <w:t>Exemple à adapter et faire valider</w:t>
            </w:r>
          </w:p>
        </w:tc>
        <w:tc>
          <w:tcPr>
            <w:tcW w:type="dxa" w:w="3628"/>
          </w:tcPr>
          <w:p>
            <w:pPr>
              <w:jc w:val="right"/>
            </w:pPr>
            <w:r>
              <w:rPr>
                <w:b/>
                <w:i w:val="0"/>
                <w:color w:val="E11D48"/>
                <w:sz w:val="30"/>
              </w:rPr>
              <w:t>FICHE DE POSTE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shd w:val="clear" w:color="auto" w:fill="E11D48"/>
          </w:tcPr>
          <w:p>
            <w:pPr>
              <w:spacing w:before="100"/>
            </w:pPr>
            <w:r>
              <w:rPr>
                <w:b/>
                <w:i w:val="0"/>
                <w:color w:val="F3A9B9"/>
                <w:sz w:val="17"/>
              </w:rPr>
              <w:t>INTITULÉ DU POSTE</w:t>
            </w:r>
          </w:p>
          <w:p>
            <w:pPr>
              <w:spacing w:after="120" w:before="0"/>
              <w:jc w:val="left"/>
            </w:pPr>
            <w:r>
              <w:rPr>
                <w:b/>
                <w:i w:val="0"/>
                <w:color w:val="FFFFFF"/>
                <w:sz w:val="32"/>
              </w:rPr>
              <w:t>Responsable ressources humaines</w:t>
            </w:r>
          </w:p>
        </w:tc>
      </w:tr>
    </w:tbl>
    <w:p>
      <w:pPr>
        <w:spacing w:after="60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550"/>
        <w:gridCol w:w="2550"/>
        <w:gridCol w:w="2550"/>
        <w:gridCol w:w="2550"/>
      </w:tblGrid>
      <w:tr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SERVICE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[À préciser]</w:t>
            </w:r>
          </w:p>
        </w:tc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RESPONSABLE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[Fonction]</w:t>
            </w:r>
          </w:p>
        </w:tc>
      </w:tr>
      <w:tr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LOCALISATION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[Lieu]</w:t>
            </w:r>
          </w:p>
        </w:tc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VERSION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1.0 — [Date]</w:t>
            </w:r>
          </w:p>
        </w:tc>
      </w:tr>
    </w:tbl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FINALITÉ DU POSTE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9865"/>
            <w:shd w:val="clear" w:color="auto" w:fill="E11D48"/>
          </w:tcPr>
          <w:p>
            <w:pPr>
              <w:spacing w:after="0"/>
            </w:pPr>
            <w:r>
              <w:rPr>
                <w:b w:val="0"/>
                <w:i w:val="0"/>
                <w:color w:val="FFFFFF"/>
                <w:sz w:val="2"/>
              </w:rPr>
            </w:r>
          </w:p>
        </w:tc>
      </w:tr>
    </w:tbl>
    <w:p>
      <w:pPr>
        <w:spacing w:after="20"/>
      </w:pPr>
    </w:p>
    <w:p>
      <w:pPr>
        <w:spacing w:after="60" w:before="0"/>
        <w:jc w:val="left"/>
      </w:pPr>
      <w:r>
        <w:rPr>
          <w:b w:val="0"/>
          <w:i w:val="0"/>
          <w:sz w:val="20"/>
        </w:rPr>
        <w:t>Déployer la politique RH, sécuriser les processus humains et accompagner les managers sur l’emploi, les compétences et les relations de travail.</w:t>
      </w:r>
    </w:p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MISSIONS PRINCIPALES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9865"/>
            <w:shd w:val="clear" w:color="auto" w:fill="E11D48"/>
          </w:tcPr>
          <w:p>
            <w:pPr>
              <w:spacing w:after="0"/>
            </w:pPr>
            <w:r>
              <w:rPr>
                <w:b w:val="0"/>
                <w:i w:val="0"/>
                <w:color w:val="FFFFFF"/>
                <w:sz w:val="2"/>
              </w:rPr>
            </w:r>
          </w:p>
        </w:tc>
      </w:tr>
    </w:tbl>
    <w:p>
      <w:pPr>
        <w:spacing w:after="20"/>
      </w:pPr>
    </w:p>
    <w:p>
      <w:pPr>
        <w:pStyle w:val="ListBullet"/>
        <w:spacing w:after="40"/>
      </w:pPr>
      <w:r>
        <w:rPr>
          <w:b w:val="0"/>
          <w:i w:val="0"/>
          <w:sz w:val="20"/>
        </w:rPr>
        <w:t>Piloter le recrutement et l’intégration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Conseiller les managers sur les situations individuelles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Superviser l’administration du personnel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Préparer le plan de développement des compétences</w:t>
      </w:r>
    </w:p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COMPÉTENCES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9865"/>
            <w:shd w:val="clear" w:color="auto" w:fill="E11D48"/>
          </w:tcPr>
          <w:p>
            <w:pPr>
              <w:spacing w:after="0"/>
            </w:pPr>
            <w:r>
              <w:rPr>
                <w:b w:val="0"/>
                <w:i w:val="0"/>
                <w:color w:val="FFFFFF"/>
                <w:sz w:val="2"/>
              </w:rPr>
            </w:r>
          </w:p>
        </w:tc>
      </w:tr>
    </w:tbl>
    <w:p>
      <w:pPr>
        <w:spacing w:after="20"/>
      </w:pPr>
    </w:p>
    <w:p>
      <w:pPr>
        <w:spacing w:after="20" w:before="40"/>
        <w:jc w:val="left"/>
      </w:pPr>
      <w:r>
        <w:rPr>
          <w:b/>
          <w:i w:val="0"/>
          <w:color w:val="E11D48"/>
          <w:sz w:val="20"/>
        </w:rPr>
        <w:t>Savoir-faire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Droit social opérationnel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Processus de recrutement</w:t>
      </w:r>
    </w:p>
    <w:p>
      <w:pPr>
        <w:spacing w:after="20" w:before="40"/>
        <w:jc w:val="left"/>
      </w:pPr>
      <w:r>
        <w:rPr>
          <w:b/>
          <w:i w:val="0"/>
          <w:color w:val="E11D48"/>
          <w:sz w:val="20"/>
        </w:rPr>
        <w:t>Comportements professionnels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Écoute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Confidentialité</w:t>
      </w:r>
    </w:p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CONDITIONS ET RÉUSSITE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9865"/>
            <w:shd w:val="clear" w:color="auto" w:fill="E11D48"/>
          </w:tcPr>
          <w:p>
            <w:pPr>
              <w:spacing w:after="0"/>
            </w:pPr>
            <w:r>
              <w:rPr>
                <w:b w:val="0"/>
                <w:i w:val="0"/>
                <w:color w:val="FFFFFF"/>
                <w:sz w:val="2"/>
              </w:rPr>
            </w:r>
          </w:p>
        </w:tc>
      </w:tr>
    </w:tbl>
    <w:p>
      <w:pPr>
        <w:spacing w:after="20"/>
      </w:pPr>
    </w:p>
    <w:p>
      <w:pPr>
        <w:spacing w:after="20" w:before="40"/>
        <w:jc w:val="left"/>
      </w:pPr>
      <w:r>
        <w:rPr>
          <w:b/>
          <w:i w:val="0"/>
          <w:color w:val="E11D48"/>
          <w:sz w:val="20"/>
        </w:rPr>
        <w:t>Conditions d’exercice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Déplacements possibles entre sites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Gestion de situations sensibles</w:t>
      </w:r>
    </w:p>
    <w:p>
      <w:pPr>
        <w:spacing w:after="20" w:before="40"/>
        <w:jc w:val="left"/>
      </w:pPr>
      <w:r>
        <w:rPr>
          <w:b/>
          <w:i w:val="0"/>
          <w:color w:val="E11D48"/>
          <w:sz w:val="20"/>
        </w:rPr>
        <w:t>Critères de réussite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Délai de recrutement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Turnover suivi</w:t>
      </w:r>
    </w:p>
    <w:sectPr w:rsidR="00FC693F" w:rsidRPr="0006063C" w:rsidSect="00034616">
      <w:pgSz w:w="12240" w:h="15840"/>
      <w:pgMar w:top="907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22A35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