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</w:tcPr>
          <w:p>
            <w:r>
              <w:rPr>
                <w:b/>
                <w:i w:val="0"/>
                <w:color w:val="E11D48"/>
                <w:sz w:val="26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Exemple à adapter et faire valider</w:t>
            </w:r>
          </w:p>
        </w:tc>
        <w:tc>
          <w:tcPr>
            <w:tcW w:type="dxa" w:w="3628"/>
          </w:tcPr>
          <w:p>
            <w:pPr>
              <w:jc w:val="right"/>
            </w:pPr>
            <w:r>
              <w:rPr>
                <w:b/>
                <w:i w:val="0"/>
                <w:color w:val="E11D48"/>
                <w:sz w:val="30"/>
              </w:rPr>
              <w:t>FICHE DE POSTE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00"/>
            </w:pPr>
            <w:r>
              <w:rPr>
                <w:b/>
                <w:i w:val="0"/>
                <w:color w:val="F3A9B9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FFFFFF"/>
                <w:sz w:val="32"/>
              </w:rPr>
              <w:t>ATSEM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[À préciser]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VERSION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1.0 — [Date]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Assister le personnel enseignant pour l’accueil et l’hygiène des enfants, préparer les locaux et le matériel, et contribuer aux activités prévues par le cadre d’emplois.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Préparer et remettre en état les locaux et le matériel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Aider à l’accueil et à l’hygiène des enfants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Assister l’enseignant pendant les activités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Participer à l’accompagnement sur le temps scolaire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Hygiène des jeunes enfants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Préparation d’activités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Patience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Vigilance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RÉUSSITE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Conditions d’exercice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Présence auprès de jeunes enfants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Rythme de l’année scolaire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Protocoles appliqués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Matériel prêt à l’heure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