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10262"/>
            <w:gridSpan w:val="2"/>
            <w:shd w:fill="26323D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36"/>
              </w:rPr>
              <w:t>FACTURE DE SOUS-TRAITANCE BTP</w:t>
            </w:r>
          </w:p>
        </w:tc>
      </w:tr>
      <w:tr>
        <w:tc>
          <w:tcPr>
            <w:tcW w:type="dxa" w:w="5131"/>
            <w:shd w:fill="607180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CHANTIER · AUTOLIQUIDATION À VALIDER</w:t>
            </w:r>
          </w:p>
        </w:tc>
        <w:tc>
          <w:tcPr>
            <w:tcW w:type="dxa" w:w="5131"/>
            <w:shd w:fill="EDF1F4"/>
            <w:tcMar>
              <w:top w:w="80" w:type="dxa"/>
              <w:start w:w="150" w:type="dxa"/>
              <w:bottom w:w="8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26323D"/>
                <w:sz w:val="14"/>
              </w:rPr>
              <w:t>DOSSIER TECHNIQUE · EXEMPLE REMPLI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FACTURE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ST-2026-033</w:t>
            </w:r>
          </w:p>
        </w:tc>
        <w:tc>
          <w:tcPr>
            <w:tcW w:type="dxa" w:w="5131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CHANTIER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RES-ALPHA</w:t>
            </w:r>
          </w:p>
        </w:tc>
      </w:tr>
      <w:tr>
        <w:tc>
          <w:tcPr>
            <w:tcW w:type="dxa" w:w="5131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SITUATION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N° 2</w:t>
            </w:r>
          </w:p>
        </w:tc>
        <w:tc>
          <w:tcPr>
            <w:tcW w:type="dxa" w:w="5131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3"/>
              </w:rPr>
              <w:t>PÉRIODE</w:t>
              <w:br/>
            </w:r>
            <w:r>
              <w:rPr>
                <w:rFonts w:ascii="Aptos" w:hAnsi="Aptos"/>
                <w:b/>
                <w:i w:val="0"/>
                <w:color w:val="26323D"/>
                <w:sz w:val="16"/>
              </w:rPr>
              <w:t>01–15/07/2026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DF1F4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4"/>
              </w:rPr>
              <w:t xml:space="preserve">ÉMETTEUR · EXEMPLE FICTIF  </w:t>
            </w: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Peinture Ardoise SARL · 11 rue des Compagnons · 21000 Dijon · SIREN 000 000 000 · assurance décennale DEMO-26</w:t>
            </w:r>
          </w:p>
        </w:tc>
      </w:tr>
      <w:tr>
        <w:tc>
          <w:tcPr>
            <w:tcW w:type="dxa" w:w="10262"/>
            <w:shd w:fill="FFFFFF"/>
            <w:tcMar>
              <w:top w:w="90" w:type="dxa"/>
              <w:start w:w="140" w:type="dxa"/>
              <w:bottom w:w="90" w:type="dxa"/>
              <w:end w:w="14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4"/>
              </w:rPr>
              <w:t xml:space="preserve">CLIENT · EXEMPLE FICTIF  </w:t>
            </w: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Bâtir Ensemble SAS · 25 avenue du Chantier · 25000 Besançon · SIREN 111 111 111</w:t>
            </w:r>
          </w:p>
        </w:tc>
      </w:tr>
    </w:tbl>
    <w:p>
      <w:pPr>
        <w:spacing w:after="0"/>
      </w:pP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1F4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4"/>
              </w:rPr>
              <w:t>MARCHÉ</w:t>
              <w:br/>
            </w: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Contrat : [référence]</w:t>
              <w:br/>
              <w:t>Adresse du chantier : [adresse]</w:t>
              <w:br/>
              <w:t>PV / attachement : [référence]</w:t>
            </w:r>
          </w:p>
        </w:tc>
        <w:tc>
          <w:tcPr>
            <w:tcW w:type="dxa" w:w="5131"/>
            <w:shd w:fill="FFFFFF"/>
            <w:tcMar>
              <w:top w:w="90" w:type="dxa"/>
              <w:start w:w="110" w:type="dxa"/>
              <w:bottom w:w="90" w:type="dxa"/>
              <w:end w:w="110" w:type="dxa"/>
            </w:tcMar>
          </w:tcPr>
          <w:p/>
        </w:tc>
      </w:tr>
    </w:tbl>
    <w:p>
      <w:pPr>
        <w:spacing w:after="0"/>
      </w:pP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052"/>
        <w:gridCol w:w="2052"/>
        <w:gridCol w:w="2052"/>
        <w:gridCol w:w="2052"/>
        <w:gridCol w:w="2052"/>
      </w:tblGrid>
      <w:tr>
        <w:trPr>
          <w:tblHeader w:val="true"/>
        </w:trPr>
        <w:tc>
          <w:tcPr>
            <w:tcW w:type="dxa" w:w="2052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Lot / ouvrage</w:t>
            </w:r>
          </w:p>
        </w:tc>
        <w:tc>
          <w:tcPr>
            <w:tcW w:type="dxa" w:w="2052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% réalisé</w:t>
            </w:r>
          </w:p>
        </w:tc>
        <w:tc>
          <w:tcPr>
            <w:tcW w:type="dxa" w:w="2052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Base marché</w:t>
            </w:r>
          </w:p>
        </w:tc>
        <w:tc>
          <w:tcPr>
            <w:tcW w:type="dxa" w:w="2052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Période HT</w:t>
            </w:r>
          </w:p>
        </w:tc>
        <w:tc>
          <w:tcPr>
            <w:tcW w:type="dxa" w:w="2052"/>
            <w:shd w:fill="607180"/>
            <w:tcMar>
              <w:top w:w="95" w:type="dxa"/>
              <w:start w:w="90" w:type="dxa"/>
              <w:bottom w:w="95" w:type="dxa"/>
              <w:end w:w="90" w:type="dxa"/>
            </w:tcMar>
          </w:tcPr>
          <w:p>
            <w:r>
              <w:rPr>
                <w:rFonts w:ascii="Aptos" w:hAnsi="Aptos"/>
                <w:b/>
                <w:i w:val="0"/>
                <w:color w:val="FFFFFF"/>
                <w:sz w:val="14"/>
              </w:rPr>
              <w:t>Cumul HT</w:t>
            </w:r>
          </w:p>
        </w:tc>
      </w:tr>
      <w:tr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Lot peinture intérieure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60 %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8 000,00 €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2 400,00 €</w:t>
            </w:r>
          </w:p>
        </w:tc>
        <w:tc>
          <w:tcPr>
            <w:tcW w:type="dxa" w:w="2052"/>
            <w:shd w:fill="FFFFFF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4 800,00 €</w:t>
            </w:r>
          </w:p>
        </w:tc>
      </w:tr>
      <w:tr>
        <w:tc>
          <w:tcPr>
            <w:tcW w:type="dxa" w:w="2052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Protection et nettoyage</w:t>
            </w:r>
          </w:p>
        </w:tc>
        <w:tc>
          <w:tcPr>
            <w:tcW w:type="dxa" w:w="2052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100 %</w:t>
            </w:r>
          </w:p>
        </w:tc>
        <w:tc>
          <w:tcPr>
            <w:tcW w:type="dxa" w:w="2052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600,00 €</w:t>
            </w:r>
          </w:p>
        </w:tc>
        <w:tc>
          <w:tcPr>
            <w:tcW w:type="dxa" w:w="2052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600,00 €</w:t>
            </w:r>
          </w:p>
        </w:tc>
        <w:tc>
          <w:tcPr>
            <w:tcW w:type="dxa" w:w="2052"/>
            <w:shd w:fill="EDF1F4"/>
            <w:tcMar>
              <w:top w:w="90" w:type="dxa"/>
              <w:start w:w="90" w:type="dxa"/>
              <w:bottom w:w="90" w:type="dxa"/>
              <w:end w:w="90" w:type="dxa"/>
            </w:tcMar>
            <w:vAlign w:val="center"/>
          </w:tcPr>
          <w:p>
            <w:r>
              <w:rPr>
                <w:rFonts w:ascii="Aptos" w:hAnsi="Aptos"/>
                <w:b w:val="0"/>
                <w:i w:val="0"/>
                <w:color w:val="26323D"/>
                <w:sz w:val="15"/>
              </w:rPr>
              <w:t>600,00 €</w:t>
            </w:r>
          </w:p>
        </w:tc>
      </w:tr>
    </w:tbl>
    <w:p>
      <w:pPr>
        <w:spacing w:after="0"/>
      </w:pPr>
    </w:p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5131"/>
        <w:gridCol w:w="5131"/>
      </w:tblGrid>
      <w:tr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TRAVAUX DE LA PÉRIODE</w:t>
            </w:r>
          </w:p>
        </w:tc>
        <w:tc>
          <w:tcPr>
            <w:tcW w:type="dxa" w:w="5131"/>
            <w:shd w:fill="EDF1F4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607180"/>
                <w:sz w:val="18"/>
              </w:rPr>
              <w:t>3 000,00 €</w:t>
            </w:r>
          </w:p>
        </w:tc>
      </w:tr>
      <w:tr>
        <w:tc>
          <w:tcPr>
            <w:tcW w:type="dxa" w:w="5131"/>
            <w:shd w:fill="26323D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6"/>
              </w:rPr>
              <w:t>NET À PAYER</w:t>
            </w:r>
          </w:p>
        </w:tc>
        <w:tc>
          <w:tcPr>
            <w:tcW w:type="dxa" w:w="5131"/>
            <w:shd w:fill="26323D"/>
            <w:tcMar>
              <w:top w:w="95" w:type="dxa"/>
              <w:start w:w="130" w:type="dxa"/>
              <w:bottom w:w="95" w:type="dxa"/>
              <w:end w:w="130" w:type="dxa"/>
            </w:tcMar>
          </w:tcPr>
          <w:p>
            <w:pPr>
              <w:jc w:val="right"/>
            </w:pPr>
            <w:r>
              <w:rPr>
                <w:rFonts w:ascii="Aptos" w:hAnsi="Aptos"/>
                <w:b/>
                <w:i w:val="0"/>
                <w:color w:val="FFFFFF"/>
                <w:sz w:val="18"/>
              </w:rPr>
              <w:t>3 000,00 €</w:t>
            </w:r>
          </w:p>
        </w:tc>
      </w:tr>
    </w:tbl>
    <w:p>
      <w:pPr>
        <w:spacing w:after="0"/>
      </w:pPr>
    </w:p>
    <w:tbl>
      <w:tblPr>
        <w:tblW w:type="auto" w:w="0"/>
        <w:tblLook w:firstColumn="1" w:firstRow="1" w:lastColumn="0" w:lastRow="0" w:noHBand="0" w:noVBand="1" w:val="04A0"/>
      </w:tblPr>
      <w:tblGrid>
        <w:gridCol w:w="10262"/>
      </w:tblGrid>
      <w:tr>
        <w:tc>
          <w:tcPr>
            <w:tcW w:type="dxa" w:w="10262"/>
            <w:shd w:fill="EDF1F4"/>
            <w:tcMar>
              <w:top w:w="120" w:type="dxa"/>
              <w:start w:w="150" w:type="dxa"/>
              <w:bottom w:w="120" w:type="dxa"/>
              <w:end w:w="150" w:type="dxa"/>
            </w:tcMar>
          </w:tcPr>
          <w:p>
            <w:r>
              <w:rPr>
                <w:rFonts w:ascii="Aptos" w:hAnsi="Aptos"/>
                <w:b/>
                <w:i w:val="0"/>
                <w:color w:val="607180"/>
                <w:sz w:val="14"/>
              </w:rPr>
              <w:t xml:space="preserve">POINT DE VIGILANCE  </w:t>
            </w:r>
            <w:r>
              <w:rPr>
                <w:rFonts w:ascii="Aptos" w:hAnsi="Aptos"/>
                <w:b w:val="0"/>
                <w:i w:val="0"/>
                <w:color w:val="26323D"/>
                <w:sz w:val="16"/>
              </w:rPr>
              <w:t>Autoliquidation – TVA due par le preneur, lorsque les conditions légales sont réunies. Faire valider le périmètre avant émission.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1906" w:h="16838"/>
      <w:pgMar w:top="709" w:right="822" w:bottom="709" w:left="82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b w:val="0"/>
        <w:i w:val="0"/>
        <w:color w:val="6B7280"/>
        <w:sz w:val="14"/>
      </w:rPr>
      <w:t>Exemple fictif · vérifier les données, le régime fiscal et les conditions contractuelles avant émission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rPr>
        <w:rFonts w:ascii="Aptos" w:hAnsi="Aptos"/>
        <w:b/>
        <w:i w:val="0"/>
        <w:color w:val="607180"/>
        <w:sz w:val="15"/>
      </w:rPr>
      <w:t>MODÈLE FACILE</w:t>
    </w:r>
    <w:r>
      <w:rPr>
        <w:rFonts w:ascii="Aptos" w:hAnsi="Aptos"/>
        <w:b w:val="0"/>
        <w:i w:val="0"/>
        <w:color w:val="6B7280"/>
        <w:sz w:val="15"/>
      </w:rPr>
      <w:t xml:space="preserve">  ·  DOCUMENT À PERSONNALISER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70"/>
    </w:pPr>
    <w:rPr>
      <w:rFonts w:ascii="Aptos" w:hAnsi="Aptos"/>
      <w:sz w:val="17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26323D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607180"/>
      <w:sz w:val="2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 Display" w:hAnsi="Aptos Display"/>
      <w:b/>
      <w:color w:val="26323D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