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7C2D12"/>
                <w:sz w:val="15"/>
              </w:rPr>
              <w:t>EXPÉDITEUR</w:t>
            </w:r>
          </w:p>
          <w:p>
            <w:pPr>
              <w:spacing w:after="0"/>
            </w:pPr>
            <w:r>
              <w:rPr>
                <w:rFonts w:ascii="Aptos" w:hAnsi="Aptos"/>
                <w:b/>
                <w:i w:val="0"/>
                <w:color w:val="172033"/>
                <w:sz w:val="18"/>
              </w:rPr>
              <w:t>Lina Faure</w:t>
            </w:r>
          </w:p>
          <w:p>
            <w:pPr>
              <w:spacing w:after="0"/>
            </w:pPr>
            <w:r>
              <w:rPr>
                <w:rFonts w:ascii="Aptos" w:hAnsi="Aptos"/>
                <w:b w:val="0"/>
                <w:i w:val="0"/>
                <w:color w:val="172033"/>
                <w:sz w:val="18"/>
              </w:rPr>
              <w:t>33 avenue du Prado</w:t>
            </w:r>
          </w:p>
          <w:p>
            <w:pPr>
              <w:spacing w:after="0"/>
            </w:pPr>
            <w:r>
              <w:rPr>
                <w:rFonts w:ascii="Aptos" w:hAnsi="Aptos"/>
                <w:b w:val="0"/>
                <w:i w:val="0"/>
                <w:color w:val="172033"/>
                <w:sz w:val="18"/>
              </w:rPr>
              <w:t>13008 Marseille</w:t>
            </w:r>
          </w:p>
        </w:tc>
        <w:tc>
          <w:tcPr>
            <w:tcW w:type="dxa" w:w="4989"/>
            <w:vAlign w:val="top"/>
            <w:tcMar>
              <w:top w:w="70" w:type="dxa"/>
              <w:start w:w="120" w:type="dxa"/>
              <w:bottom w:w="70" w:type="dxa"/>
              <w:end w:w="120" w:type="dxa"/>
            </w:tcMar>
            <w:shd w:fill="FFEDD5"/>
          </w:tcPr>
          <w:p>
            <w:r/>
            <w:r>
              <w:rPr>
                <w:rFonts w:ascii="Aptos" w:hAnsi="Aptos"/>
                <w:b/>
                <w:i w:val="0"/>
                <w:color w:val="7C2D12"/>
                <w:sz w:val="15"/>
              </w:rPr>
              <w:t>DESTINATAIRE</w:t>
            </w:r>
          </w:p>
          <w:p>
            <w:pPr>
              <w:spacing w:after="0"/>
            </w:pPr>
            <w:r>
              <w:rPr>
                <w:rFonts w:ascii="Aptos" w:hAnsi="Aptos"/>
                <w:b/>
                <w:i w:val="0"/>
                <w:color w:val="172033"/>
                <w:sz w:val="18"/>
              </w:rPr>
              <w:t>M. Damien Lacroix</w:t>
            </w:r>
          </w:p>
          <w:p>
            <w:pPr>
              <w:spacing w:after="0"/>
            </w:pPr>
            <w:r>
              <w:rPr>
                <w:rFonts w:ascii="Aptos" w:hAnsi="Aptos"/>
                <w:b w:val="0"/>
                <w:i w:val="0"/>
                <w:color w:val="172033"/>
                <w:sz w:val="18"/>
              </w:rPr>
              <w:t>Locataire du logement</w:t>
            </w:r>
          </w:p>
          <w:p>
            <w:pPr>
              <w:spacing w:after="0"/>
            </w:pPr>
            <w:r>
              <w:rPr>
                <w:rFonts w:ascii="Aptos" w:hAnsi="Aptos"/>
                <w:b w:val="0"/>
                <w:i w:val="0"/>
                <w:color w:val="172033"/>
                <w:sz w:val="18"/>
              </w:rPr>
              <w:t>33 avenue du Prado · 13008 Marseille</w:t>
            </w:r>
          </w:p>
        </w:tc>
      </w:tr>
    </w:tbl>
    <w:p>
      <w:pPr>
        <w:spacing w:after="0"/>
      </w:pPr>
    </w:p>
    <w:p>
      <w:pPr>
        <w:spacing w:after="100"/>
        <w:jc w:val="right"/>
      </w:pPr>
      <w:r>
        <w:rPr>
          <w:rFonts w:ascii="Aptos" w:hAnsi="Aptos"/>
          <w:b w:val="0"/>
          <w:i w:val="0"/>
          <w:color w:val="475569"/>
          <w:sz w:val="18"/>
        </w:rPr>
        <w:t>Marseille,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FEDD5"/>
            <w:tcMar>
              <w:top w:w="70" w:type="dxa"/>
              <w:start w:w="100" w:type="dxa"/>
              <w:bottom w:w="70" w:type="dxa"/>
              <w:end w:w="100" w:type="dxa"/>
            </w:tcMar>
          </w:tcPr>
          <w:p>
            <w:pPr>
              <w:spacing w:after="0"/>
            </w:pPr>
            <w:r/>
            <w:r>
              <w:rPr>
                <w:rFonts w:ascii="Aptos" w:hAnsi="Aptos"/>
                <w:b/>
                <w:i w:val="0"/>
                <w:color w:val="7C2D12"/>
                <w:sz w:val="14"/>
              </w:rPr>
              <w:t>BAILLEUR</w:t>
              <w:br/>
            </w:r>
            <w:r>
              <w:rPr>
                <w:rFonts w:ascii="Aptos" w:hAnsi="Aptos"/>
                <w:b w:val="0"/>
                <w:i w:val="0"/>
                <w:color w:val="172033"/>
                <w:sz w:val="17"/>
              </w:rPr>
              <w:t>Lina Faure</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BAIL</w:t>
              <w:br/>
            </w:r>
            <w:r>
              <w:rPr>
                <w:rFonts w:ascii="Aptos" w:hAnsi="Aptos"/>
                <w:b w:val="0"/>
                <w:i w:val="0"/>
                <w:color w:val="172033"/>
                <w:sz w:val="17"/>
              </w:rPr>
              <w:t>Échéance 31/03/2027</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MOTIF</w:t>
              <w:br/>
            </w:r>
            <w:r>
              <w:rPr>
                <w:rFonts w:ascii="Aptos" w:hAnsi="Aptos"/>
                <w:b w:val="0"/>
                <w:i w:val="0"/>
                <w:color w:val="172033"/>
                <w:sz w:val="17"/>
              </w:rPr>
              <w:t>Retards de loyers répétés</w:t>
            </w:r>
          </w:p>
        </w:tc>
      </w:tr>
    </w:tbl>
    <w:p>
      <w:pPr>
        <w:spacing w:after="0"/>
      </w:pPr>
    </w:p>
    <w:p>
      <w:pPr>
        <w:spacing w:after="80"/>
      </w:pPr>
      <w:r>
        <w:rPr>
          <w:rFonts w:ascii="Aptos" w:hAnsi="Aptos"/>
          <w:b/>
          <w:i w:val="0"/>
          <w:color w:val="7C2D12"/>
          <w:sz w:val="17"/>
        </w:rPr>
        <w:t>Signification par commissaire de justice</w:t>
      </w:r>
    </w:p>
    <w:p>
      <w:pPr>
        <w:keepLines/>
        <w:widowControl/>
        <w:spacing w:after="160"/>
      </w:pPr>
      <w:r>
        <w:rPr>
          <w:rFonts w:ascii="Aptos" w:hAnsi="Aptos"/>
          <w:b/>
          <w:i w:val="0"/>
          <w:color w:val="7C2D12"/>
          <w:sz w:val="22"/>
        </w:rPr>
        <w:t xml:space="preserve">Objet : </w:t>
      </w:r>
      <w:r>
        <w:rPr>
          <w:rFonts w:ascii="Aptos" w:hAnsi="Aptos"/>
          <w:b/>
          <w:i w:val="0"/>
          <w:color w:val="172033"/>
          <w:sz w:val="22"/>
        </w:rPr>
        <w:t>Congé pour motif légitime et sérieux à l'échéance du 31 mars 2027</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donne congé à l'échéance du 31 mars 2027 pour motif légitime et sérieux. Depuis septembre 2025, neuf loyers ont été réglés avec des retards compris entre dix-huit et quarante-deux jours malgré mes rappels écrits.</w:t>
      </w:r>
    </w:p>
    <w:p>
      <w:pPr>
        <w:keepLines/>
        <w:widowControl/>
        <w:spacing w:after="120"/>
        <w:ind w:firstLine="312"/>
        <w:jc w:val="both"/>
      </w:pPr>
      <w:r>
        <w:rPr>
          <w:rFonts w:ascii="Aptos" w:hAnsi="Aptos"/>
          <w:b w:val="0"/>
          <w:i w:val="0"/>
          <w:color w:val="172033"/>
          <w:sz w:val="20"/>
        </w:rPr>
        <w:t>Les échéances concernées, les dates de règlement et les rappels sont récapitulés dans le tableau joint. Le loyer de mai 2026 n'a été régularisé que le 29 juin après la mise en demeure reçue le 8 juin. Ces éléments sont exposés sans préjuger d'une éventuelle contestation.</w:t>
      </w:r>
    </w:p>
    <w:p>
      <w:pPr>
        <w:keepLines/>
        <w:widowControl/>
        <w:spacing w:after="120"/>
        <w:ind w:firstLine="312"/>
        <w:jc w:val="both"/>
      </w:pPr>
      <w:r>
        <w:rPr>
          <w:rFonts w:ascii="Aptos" w:hAnsi="Aptos"/>
          <w:b w:val="0"/>
          <w:i w:val="0"/>
          <w:color w:val="172033"/>
          <w:sz w:val="20"/>
        </w:rPr>
        <w:t>Le congé prendra effet seulement à l'échéance du bail. Le loyer, les charges et les obligations d'entretien restent applicables jusque-là. La situation des occupants protégés, les titulaires du bail et le délai de six mois ont été contrôlés avant signification.</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7C2D12"/>
                <w:sz w:val="14"/>
              </w:rPr>
              <w:t>PIÈCES JOINTES</w:t>
            </w:r>
          </w:p>
          <w:p>
            <w:pPr>
              <w:pStyle w:val="ListBullet"/>
              <w:spacing w:after="0"/>
            </w:pPr>
            <w:r>
              <w:rPr>
                <w:rFonts w:ascii="Aptos" w:hAnsi="Aptos"/>
                <w:b w:val="0"/>
                <w:i w:val="0"/>
                <w:color w:val="475569"/>
                <w:sz w:val="16"/>
              </w:rPr>
              <w:t>Tableau chronologique des échéances et règlements</w:t>
            </w:r>
          </w:p>
          <w:p>
            <w:pPr>
              <w:pStyle w:val="ListBullet"/>
              <w:spacing w:after="0"/>
            </w:pPr>
            <w:r>
              <w:rPr>
                <w:rFonts w:ascii="Aptos" w:hAnsi="Aptos"/>
                <w:b w:val="0"/>
                <w:i w:val="0"/>
                <w:color w:val="475569"/>
                <w:sz w:val="16"/>
              </w:rPr>
              <w:t>Copies des rappels et avis de réception</w:t>
            </w:r>
          </w:p>
          <w:p>
            <w:pPr>
              <w:pStyle w:val="ListBullet"/>
              <w:spacing w:after="0"/>
            </w:pPr>
            <w:r>
              <w:rPr>
                <w:rFonts w:ascii="Aptos" w:hAnsi="Aptos"/>
                <w:b w:val="0"/>
                <w:i w:val="0"/>
                <w:color w:val="475569"/>
                <w:sz w:val="16"/>
              </w:rPr>
              <w:t>Notice réglementaire</w:t>
            </w:r>
          </w:p>
        </w:tc>
        <w:tc>
          <w:tcPr>
            <w:tcW w:type="dxa" w:w="3118"/>
          </w:tcPr>
          <w:p>
            <w:pPr>
              <w:jc w:val="center"/>
            </w:pPr>
            <w:r/>
            <w:r>
              <w:rPr>
                <w:rFonts w:ascii="Aptos" w:hAnsi="Aptos"/>
                <w:b/>
                <w:i w:val="0"/>
                <w:color w:val="7C2D12"/>
                <w:sz w:val="14"/>
              </w:rPr>
              <w:t>Signature</w:t>
            </w:r>
          </w:p>
          <w:p>
            <w:pPr>
              <w:spacing w:before="180"/>
              <w:jc w:val="center"/>
            </w:pPr>
            <w:r>
              <w:rPr>
                <w:rFonts w:ascii="Aptos" w:hAnsi="Aptos"/>
                <w:b/>
                <w:i w:val="0"/>
                <w:color w:val="172033"/>
                <w:sz w:val="20"/>
              </w:rPr>
              <w:t>Lina Faure</w:t>
            </w:r>
          </w:p>
        </w:tc>
      </w:tr>
    </w:tbl>
    <w:p>
      <w:pPr>
        <w:spacing w:before="80" w:after="0"/>
      </w:pPr>
      <w:r>
        <w:rPr>
          <w:rFonts w:ascii="Aptos" w:hAnsi="Aptos"/>
          <w:b/>
          <w:i w:val="0"/>
          <w:color w:val="7C2D12"/>
          <w:sz w:val="15"/>
        </w:rPr>
        <w:t xml:space="preserve">À CONSERVER · </w:t>
      </w:r>
      <w:r>
        <w:rPr>
          <w:rFonts w:ascii="Aptos" w:hAnsi="Aptos"/>
          <w:b w:val="0"/>
          <w:i w:val="0"/>
          <w:color w:val="475569"/>
          <w:sz w:val="15"/>
        </w:rPr>
        <w:t>Un motif légitime et sérieux doit être précis, proportionné et prouvé ; un contentieux peut nécessiter l'avis d'un professionnel.</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7C2D12"/>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