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F3F46"/>
                <w:sz w:val="15"/>
              </w:rPr>
              <w:t>EXPÉDITEUR</w:t>
            </w:r>
          </w:p>
          <w:p>
            <w:pPr>
              <w:spacing w:after="0"/>
            </w:pPr>
            <w:r>
              <w:rPr>
                <w:rFonts w:ascii="Aptos" w:hAnsi="Aptos"/>
                <w:b/>
                <w:i w:val="0"/>
                <w:color w:val="172033"/>
                <w:sz w:val="18"/>
              </w:rPr>
              <w:t>Mélanie Schmitt et Kévin Brun</w:t>
            </w:r>
          </w:p>
          <w:p>
            <w:pPr>
              <w:spacing w:after="0"/>
            </w:pPr>
            <w:r>
              <w:rPr>
                <w:rFonts w:ascii="Aptos" w:hAnsi="Aptos"/>
                <w:b w:val="0"/>
                <w:i w:val="0"/>
                <w:color w:val="172033"/>
                <w:sz w:val="18"/>
              </w:rPr>
              <w:t>18 rue du Parc</w:t>
            </w:r>
          </w:p>
          <w:p>
            <w:pPr>
              <w:spacing w:after="0"/>
            </w:pPr>
            <w:r>
              <w:rPr>
                <w:rFonts w:ascii="Aptos" w:hAnsi="Aptos"/>
                <w:b w:val="0"/>
                <w:i w:val="0"/>
                <w:color w:val="172033"/>
                <w:sz w:val="18"/>
              </w:rPr>
              <w:t>14000 Caen</w:t>
            </w:r>
          </w:p>
        </w:tc>
        <w:tc>
          <w:tcPr>
            <w:tcW w:type="dxa" w:w="4989"/>
            <w:vAlign w:val="top"/>
            <w:tcMar>
              <w:top w:w="70" w:type="dxa"/>
              <w:start w:w="120" w:type="dxa"/>
              <w:bottom w:w="70" w:type="dxa"/>
              <w:end w:w="120" w:type="dxa"/>
            </w:tcMar>
            <w:shd w:fill="E4E4E7"/>
          </w:tcPr>
          <w:p>
            <w:r/>
            <w:r>
              <w:rPr>
                <w:rFonts w:ascii="Aptos" w:hAnsi="Aptos"/>
                <w:b/>
                <w:i w:val="0"/>
                <w:color w:val="3F3F46"/>
                <w:sz w:val="15"/>
              </w:rPr>
              <w:t>DESTINATAIRE</w:t>
            </w:r>
          </w:p>
          <w:p>
            <w:pPr>
              <w:spacing w:after="0"/>
            </w:pPr>
            <w:r>
              <w:rPr>
                <w:rFonts w:ascii="Aptos" w:hAnsi="Aptos"/>
                <w:b/>
                <w:i w:val="0"/>
                <w:color w:val="172033"/>
                <w:sz w:val="18"/>
              </w:rPr>
              <w:t>Banque Littorale — établissement fictif</w:t>
            </w:r>
          </w:p>
          <w:p>
            <w:pPr>
              <w:spacing w:after="0"/>
            </w:pPr>
            <w:r>
              <w:rPr>
                <w:rFonts w:ascii="Aptos" w:hAnsi="Aptos"/>
                <w:b w:val="0"/>
                <w:i w:val="0"/>
                <w:color w:val="172033"/>
                <w:sz w:val="18"/>
              </w:rPr>
              <w:t>Agence Caen République</w:t>
            </w:r>
          </w:p>
          <w:p>
            <w:pPr>
              <w:spacing w:after="0"/>
            </w:pPr>
            <w:r>
              <w:rPr>
                <w:rFonts w:ascii="Aptos" w:hAnsi="Aptos"/>
                <w:b w:val="0"/>
                <w:i w:val="0"/>
                <w:color w:val="172033"/>
                <w:sz w:val="18"/>
              </w:rPr>
              <w:t>22 rue Saint-Jean · 14000 Caen</w:t>
            </w:r>
          </w:p>
        </w:tc>
      </w:tr>
    </w:tbl>
    <w:p>
      <w:pPr>
        <w:spacing w:after="0"/>
      </w:pPr>
    </w:p>
    <w:p>
      <w:pPr>
        <w:spacing w:after="100"/>
        <w:jc w:val="right"/>
      </w:pPr>
      <w:r>
        <w:rPr>
          <w:rFonts w:ascii="Aptos" w:hAnsi="Aptos"/>
          <w:b w:val="0"/>
          <w:i w:val="0"/>
          <w:color w:val="475569"/>
          <w:sz w:val="18"/>
        </w:rPr>
        <w:t>Caen,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4E4E7"/>
            <w:tcMar>
              <w:top w:w="70" w:type="dxa"/>
              <w:start w:w="100" w:type="dxa"/>
              <w:bottom w:w="70" w:type="dxa"/>
              <w:end w:w="100" w:type="dxa"/>
            </w:tcMar>
          </w:tcPr>
          <w:p>
            <w:pPr>
              <w:spacing w:after="0"/>
            </w:pPr>
            <w:r/>
            <w:r>
              <w:rPr>
                <w:rFonts w:ascii="Aptos" w:hAnsi="Aptos"/>
                <w:b/>
                <w:i w:val="0"/>
                <w:color w:val="3F3F46"/>
                <w:sz w:val="14"/>
              </w:rPr>
              <w:t>COMPTE JOINT</w:t>
              <w:br/>
            </w:r>
            <w:r>
              <w:rPr>
                <w:rFonts w:ascii="Aptos" w:hAnsi="Aptos"/>
                <w:b w:val="0"/>
                <w:i w:val="0"/>
                <w:color w:val="172033"/>
                <w:sz w:val="17"/>
              </w:rPr>
              <w:t>FR14 2004 1010 0505 0002 7614 932</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COTITULAIRES</w:t>
              <w:br/>
            </w:r>
            <w:r>
              <w:rPr>
                <w:rFonts w:ascii="Aptos" w:hAnsi="Aptos"/>
                <w:b w:val="0"/>
                <w:i w:val="0"/>
                <w:color w:val="172033"/>
                <w:sz w:val="17"/>
              </w:rPr>
              <w:t>M. Schmitt / K. Brun</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SOLDE ESTIMÉ</w:t>
              <w:br/>
            </w:r>
            <w:r>
              <w:rPr>
                <w:rFonts w:ascii="Aptos" w:hAnsi="Aptos"/>
                <w:b w:val="0"/>
                <w:i w:val="0"/>
                <w:color w:val="172033"/>
                <w:sz w:val="17"/>
              </w:rPr>
              <w:t>2 184,36 €</w:t>
            </w:r>
          </w:p>
        </w:tc>
      </w:tr>
    </w:tbl>
    <w:p>
      <w:pPr>
        <w:spacing w:after="0"/>
      </w:pPr>
    </w:p>
    <w:p>
      <w:pPr>
        <w:spacing w:after="80"/>
      </w:pPr>
      <w:r>
        <w:rPr>
          <w:rFonts w:ascii="Aptos" w:hAnsi="Aptos"/>
          <w:b/>
          <w:i w:val="0"/>
          <w:color w:val="3F3F46"/>
          <w:sz w:val="17"/>
        </w:rPr>
        <w:t>Lettre recommandée signée par les deux cotitulaires</w:t>
      </w:r>
    </w:p>
    <w:p>
      <w:pPr>
        <w:keepLines/>
        <w:widowControl/>
        <w:spacing w:after="160"/>
      </w:pPr>
      <w:r>
        <w:rPr>
          <w:rFonts w:ascii="Aptos" w:hAnsi="Aptos"/>
          <w:b/>
          <w:i w:val="0"/>
          <w:color w:val="3F3F46"/>
          <w:sz w:val="22"/>
        </w:rPr>
        <w:t xml:space="preserve">Objet : </w:t>
      </w:r>
      <w:r>
        <w:rPr>
          <w:rFonts w:ascii="Aptos" w:hAnsi="Aptos"/>
          <w:b/>
          <w:i w:val="0"/>
          <w:color w:val="172033"/>
          <w:sz w:val="22"/>
        </w:rPr>
        <w:t>Clôture conjointe du compte joint et transfert du solde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Nous vous demandons ensemble de clôturer le compte joint référencé ci-dessus après règlement des opérations encore en circulation. Les virements de salaires et les prélèvements d'énergie ont été redirigés vers nos comptes individuels.</w:t>
      </w:r>
    </w:p>
    <w:p>
      <w:pPr>
        <w:keepLines/>
        <w:widowControl/>
        <w:spacing w:after="120"/>
        <w:ind w:firstLine="312"/>
        <w:jc w:val="both"/>
      </w:pPr>
      <w:r>
        <w:rPr>
          <w:rFonts w:ascii="Aptos" w:hAnsi="Aptos"/>
          <w:b w:val="0"/>
          <w:i w:val="0"/>
          <w:color w:val="172033"/>
          <w:sz w:val="20"/>
        </w:rPr>
        <w:t>Nous autorisons le virement du solde créditeur par parts égales vers les deux RIB joints, après déduction des frais et opérations dûment identifiés. Les deux cartes ont été détruites et le chéquier commun, comportant six formules vierges, est remis annulé.</w:t>
      </w:r>
    </w:p>
    <w:p>
      <w:pPr>
        <w:keepLines/>
        <w:widowControl/>
        <w:spacing w:after="120"/>
        <w:ind w:firstLine="312"/>
        <w:jc w:val="both"/>
      </w:pPr>
      <w:r>
        <w:rPr>
          <w:rFonts w:ascii="Aptos" w:hAnsi="Aptos"/>
          <w:b w:val="0"/>
          <w:i w:val="0"/>
          <w:color w:val="172033"/>
          <w:sz w:val="20"/>
        </w:rPr>
        <w:t>Merci d'adresser la confirmation et le relevé de clôture à chacun de nous. Nos deux signatures figurent sur l'original ; aucune instruction donnée par un seul cotitulaire ne doit modifier la répartition indiquée sans accord écrit commun.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F3F46"/>
                <w:sz w:val="14"/>
              </w:rPr>
              <w:t>PIÈCES JOINTES</w:t>
            </w:r>
          </w:p>
          <w:p>
            <w:pPr>
              <w:pStyle w:val="ListBullet"/>
              <w:spacing w:after="0"/>
            </w:pPr>
            <w:r>
              <w:rPr>
                <w:rFonts w:ascii="Aptos" w:hAnsi="Aptos"/>
                <w:b w:val="0"/>
                <w:i w:val="0"/>
                <w:color w:val="475569"/>
                <w:sz w:val="16"/>
              </w:rPr>
              <w:t>Deux RIB de destination</w:t>
            </w:r>
          </w:p>
          <w:p>
            <w:pPr>
              <w:pStyle w:val="ListBullet"/>
              <w:spacing w:after="0"/>
            </w:pPr>
            <w:r>
              <w:rPr>
                <w:rFonts w:ascii="Aptos" w:hAnsi="Aptos"/>
                <w:b w:val="0"/>
                <w:i w:val="0"/>
                <w:color w:val="475569"/>
                <w:sz w:val="16"/>
              </w:rPr>
              <w:t>Chéquier commun annulé</w:t>
            </w:r>
          </w:p>
          <w:p>
            <w:pPr>
              <w:pStyle w:val="ListBullet"/>
              <w:spacing w:after="0"/>
            </w:pPr>
            <w:r>
              <w:rPr>
                <w:rFonts w:ascii="Aptos" w:hAnsi="Aptos"/>
                <w:b w:val="0"/>
                <w:i w:val="0"/>
                <w:color w:val="475569"/>
                <w:sz w:val="16"/>
              </w:rPr>
              <w:t>Attestation de destruction des deux cartes</w:t>
            </w:r>
          </w:p>
        </w:tc>
        <w:tc>
          <w:tcPr>
            <w:tcW w:type="dxa" w:w="3118"/>
          </w:tcPr>
          <w:p>
            <w:pPr>
              <w:jc w:val="center"/>
            </w:pPr>
            <w:r/>
            <w:r>
              <w:rPr>
                <w:rFonts w:ascii="Aptos" w:hAnsi="Aptos"/>
                <w:b/>
                <w:i w:val="0"/>
                <w:color w:val="3F3F46"/>
                <w:sz w:val="14"/>
              </w:rPr>
              <w:t>Signature</w:t>
            </w:r>
          </w:p>
          <w:p>
            <w:pPr>
              <w:spacing w:before="180"/>
              <w:jc w:val="center"/>
            </w:pPr>
            <w:r>
              <w:rPr>
                <w:rFonts w:ascii="Aptos" w:hAnsi="Aptos"/>
                <w:b/>
                <w:i w:val="0"/>
                <w:color w:val="172033"/>
                <w:sz w:val="20"/>
              </w:rPr>
              <w:t>Mélanie Schmitt              Kévin Brun</w:t>
            </w:r>
          </w:p>
        </w:tc>
      </w:tr>
    </w:tbl>
    <w:p>
      <w:pPr>
        <w:spacing w:before="80" w:after="0"/>
      </w:pPr>
      <w:r>
        <w:rPr>
          <w:rFonts w:ascii="Aptos" w:hAnsi="Aptos"/>
          <w:b/>
          <w:i w:val="0"/>
          <w:color w:val="3F3F46"/>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F3F46"/>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