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933"/>
        <w:gridCol w:w="4933"/>
      </w:tblGrid>
      <w:tr>
        <w:tc>
          <w:tcPr>
            <w:tcW w:type="dxa" w:w="4535"/>
            <w:vAlign w:val="top"/>
            <w:tcMar>
              <w:top w:w="70" w:type="dxa"/>
              <w:start w:w="120" w:type="dxa"/>
              <w:bottom w:w="70" w:type="dxa"/>
              <w:end w:w="120" w:type="dxa"/>
            </w:tcMar>
          </w:tcPr>
          <w:p>
            <w:r/>
            <w:r>
              <w:rPr>
                <w:rFonts w:ascii="Aptos" w:hAnsi="Aptos"/>
                <w:b/>
                <w:i w:val="0"/>
                <w:color w:val="3F3F46"/>
                <w:sz w:val="15"/>
              </w:rPr>
              <w:t>EXPÉDITEUR</w:t>
            </w:r>
          </w:p>
          <w:p>
            <w:pPr>
              <w:spacing w:after="0"/>
            </w:pPr>
            <w:r>
              <w:rPr>
                <w:rFonts w:ascii="Aptos" w:hAnsi="Aptos"/>
                <w:b/>
                <w:i w:val="0"/>
                <w:color w:val="172033"/>
                <w:sz w:val="18"/>
              </w:rPr>
              <w:t>Louise Barbier</w:t>
            </w:r>
          </w:p>
          <w:p>
            <w:pPr>
              <w:spacing w:after="0"/>
            </w:pPr>
            <w:r>
              <w:rPr>
                <w:rFonts w:ascii="Aptos" w:hAnsi="Aptos"/>
                <w:b w:val="0"/>
                <w:i w:val="0"/>
                <w:color w:val="172033"/>
                <w:sz w:val="18"/>
              </w:rPr>
              <w:t>7 rue de la Préfecture</w:t>
            </w:r>
          </w:p>
          <w:p>
            <w:pPr>
              <w:spacing w:after="0"/>
            </w:pPr>
            <w:r>
              <w:rPr>
                <w:rFonts w:ascii="Aptos" w:hAnsi="Aptos"/>
                <w:b w:val="0"/>
                <w:i w:val="0"/>
                <w:color w:val="172033"/>
                <w:sz w:val="18"/>
              </w:rPr>
              <w:t>25000 Besançon</w:t>
            </w:r>
          </w:p>
        </w:tc>
        <w:tc>
          <w:tcPr>
            <w:tcW w:type="dxa" w:w="4989"/>
            <w:vAlign w:val="top"/>
            <w:tcMar>
              <w:top w:w="70" w:type="dxa"/>
              <w:start w:w="120" w:type="dxa"/>
              <w:bottom w:w="70" w:type="dxa"/>
              <w:end w:w="120" w:type="dxa"/>
            </w:tcMar>
            <w:shd w:fill="E4E4E7"/>
          </w:tcPr>
          <w:p>
            <w:r/>
            <w:r>
              <w:rPr>
                <w:rFonts w:ascii="Aptos" w:hAnsi="Aptos"/>
                <w:b/>
                <w:i w:val="0"/>
                <w:color w:val="3F3F46"/>
                <w:sz w:val="15"/>
              </w:rPr>
              <w:t>DESTINATAIRE</w:t>
            </w:r>
          </w:p>
          <w:p>
            <w:pPr>
              <w:spacing w:after="0"/>
            </w:pPr>
            <w:r>
              <w:rPr>
                <w:rFonts w:ascii="Aptos" w:hAnsi="Aptos"/>
                <w:b/>
                <w:i w:val="0"/>
                <w:color w:val="172033"/>
                <w:sz w:val="18"/>
              </w:rPr>
              <w:t>Banque des Rives — établissement fictif</w:t>
            </w:r>
          </w:p>
          <w:p>
            <w:pPr>
              <w:spacing w:after="0"/>
            </w:pPr>
            <w:r>
              <w:rPr>
                <w:rFonts w:ascii="Aptos" w:hAnsi="Aptos"/>
                <w:b w:val="0"/>
                <w:i w:val="0"/>
                <w:color w:val="172033"/>
                <w:sz w:val="18"/>
              </w:rPr>
              <w:t>Agence Besançon Centre</w:t>
            </w:r>
          </w:p>
          <w:p>
            <w:pPr>
              <w:spacing w:after="0"/>
            </w:pPr>
            <w:r>
              <w:rPr>
                <w:rFonts w:ascii="Aptos" w:hAnsi="Aptos"/>
                <w:b w:val="0"/>
                <w:i w:val="0"/>
                <w:color w:val="172033"/>
                <w:sz w:val="18"/>
              </w:rPr>
              <w:t>5 rue de la République · 25000 Besançon</w:t>
            </w:r>
          </w:p>
        </w:tc>
      </w:tr>
    </w:tbl>
    <w:p>
      <w:pPr>
        <w:spacing w:after="0"/>
      </w:pPr>
    </w:p>
    <w:p>
      <w:pPr>
        <w:spacing w:after="100"/>
        <w:jc w:val="right"/>
      </w:pPr>
      <w:r>
        <w:rPr>
          <w:rFonts w:ascii="Aptos" w:hAnsi="Aptos"/>
          <w:b w:val="0"/>
          <w:i w:val="0"/>
          <w:color w:val="475569"/>
          <w:sz w:val="18"/>
        </w:rPr>
        <w:t>Besançon, le 17 juillet 2026</w:t>
      </w:r>
    </w:p>
    <w:tbl>
      <w:tblPr>
        <w:tblW w:type="auto" w:w="0"/>
        <w:jc w:val="center"/>
        <w:tblLayout w:type="autofit"/>
        <w:tblLook w:firstColumn="1" w:firstRow="1" w:lastColumn="0" w:lastRow="0" w:noHBand="0" w:noVBand="1" w:val="04A0"/>
      </w:tblPr>
      <w:tblGrid>
        <w:gridCol w:w="3289"/>
        <w:gridCol w:w="3289"/>
        <w:gridCol w:w="3289"/>
      </w:tblGrid>
      <w:tr>
        <w:tc>
          <w:tcPr>
            <w:tcW w:type="dxa" w:w="3289"/>
            <w:shd w:fill="E4E4E7"/>
            <w:tcMar>
              <w:top w:w="70" w:type="dxa"/>
              <w:start w:w="100" w:type="dxa"/>
              <w:bottom w:w="70" w:type="dxa"/>
              <w:end w:w="100" w:type="dxa"/>
            </w:tcMar>
          </w:tcPr>
          <w:p>
            <w:pPr>
              <w:spacing w:after="0"/>
            </w:pPr>
            <w:r/>
            <w:r>
              <w:rPr>
                <w:rFonts w:ascii="Aptos" w:hAnsi="Aptos"/>
                <w:b/>
                <w:i w:val="0"/>
                <w:color w:val="3F3F46"/>
                <w:sz w:val="14"/>
              </w:rPr>
              <w:t>COMPTE</w:t>
              <w:br/>
            </w:r>
            <w:r>
              <w:rPr>
                <w:rFonts w:ascii="Aptos" w:hAnsi="Aptos"/>
                <w:b w:val="0"/>
                <w:i w:val="0"/>
                <w:color w:val="172033"/>
                <w:sz w:val="17"/>
              </w:rPr>
              <w:t>FR76 3000 4000 5500 0001 2345 678</w:t>
            </w:r>
          </w:p>
        </w:tc>
        <w:tc>
          <w:tcPr>
            <w:tcW w:type="dxa" w:w="3289"/>
            <w:shd w:fill="E4E4E7"/>
            <w:tcMar>
              <w:top w:w="70" w:type="dxa"/>
              <w:start w:w="100" w:type="dxa"/>
              <w:bottom w:w="70" w:type="dxa"/>
              <w:end w:w="100" w:type="dxa"/>
            </w:tcMar>
          </w:tcPr>
          <w:p>
            <w:pPr>
              <w:spacing w:after="0"/>
            </w:pPr>
            <w:r/>
            <w:r>
              <w:rPr>
                <w:rFonts w:ascii="Aptos" w:hAnsi="Aptos"/>
                <w:b/>
                <w:i w:val="0"/>
                <w:color w:val="3F3F46"/>
                <w:sz w:val="14"/>
              </w:rPr>
              <w:t>TITULAIRE</w:t>
              <w:br/>
            </w:r>
            <w:r>
              <w:rPr>
                <w:rFonts w:ascii="Aptos" w:hAnsi="Aptos"/>
                <w:b w:val="0"/>
                <w:i w:val="0"/>
                <w:color w:val="172033"/>
                <w:sz w:val="17"/>
              </w:rPr>
              <w:t>Louise Barbier</w:t>
            </w:r>
          </w:p>
        </w:tc>
        <w:tc>
          <w:tcPr>
            <w:tcW w:type="dxa" w:w="3289"/>
            <w:shd w:fill="E4E4E7"/>
            <w:tcMar>
              <w:top w:w="70" w:type="dxa"/>
              <w:start w:w="100" w:type="dxa"/>
              <w:bottom w:w="70" w:type="dxa"/>
              <w:end w:w="100" w:type="dxa"/>
            </w:tcMar>
          </w:tcPr>
          <w:p>
            <w:pPr>
              <w:spacing w:after="0"/>
            </w:pPr>
            <w:r/>
            <w:r>
              <w:rPr>
                <w:rFonts w:ascii="Aptos" w:hAnsi="Aptos"/>
                <w:b/>
                <w:i w:val="0"/>
                <w:color w:val="3F3F46"/>
                <w:sz w:val="14"/>
              </w:rPr>
              <w:t>CARTE</w:t>
              <w:br/>
            </w:r>
            <w:r>
              <w:rPr>
                <w:rFonts w:ascii="Aptos" w:hAnsi="Aptos"/>
                <w:b w:val="0"/>
                <w:i w:val="0"/>
                <w:color w:val="172033"/>
                <w:sz w:val="17"/>
              </w:rPr>
              <w:t>Terminant par 4821</w:t>
            </w:r>
          </w:p>
        </w:tc>
      </w:tr>
    </w:tbl>
    <w:p>
      <w:pPr>
        <w:spacing w:after="0"/>
      </w:pPr>
    </w:p>
    <w:p>
      <w:pPr>
        <w:spacing w:after="80"/>
      </w:pPr>
      <w:r>
        <w:rPr>
          <w:rFonts w:ascii="Aptos" w:hAnsi="Aptos"/>
          <w:b/>
          <w:i w:val="0"/>
          <w:color w:val="3F3F46"/>
          <w:sz w:val="17"/>
        </w:rPr>
        <w:t>Lettre recommandée avec avis de réception</w:t>
      </w:r>
    </w:p>
    <w:p>
      <w:pPr>
        <w:keepLines/>
        <w:widowControl/>
        <w:spacing w:after="160"/>
      </w:pPr>
      <w:r>
        <w:rPr>
          <w:rFonts w:ascii="Aptos" w:hAnsi="Aptos"/>
          <w:b/>
          <w:i w:val="0"/>
          <w:color w:val="3F3F46"/>
          <w:sz w:val="22"/>
        </w:rPr>
        <w:t xml:space="preserve">Objet : </w:t>
      </w:r>
      <w:r>
        <w:rPr>
          <w:rFonts w:ascii="Aptos" w:hAnsi="Aptos"/>
          <w:b/>
          <w:i w:val="0"/>
          <w:color w:val="172033"/>
          <w:sz w:val="22"/>
        </w:rPr>
        <w:t>Clôture du compte courant et virement du solde</w:t>
      </w:r>
    </w:p>
    <w:p>
      <w:pPr>
        <w:spacing w:after="120"/>
      </w:pPr>
      <w:r>
        <w:rPr>
          <w:rFonts w:ascii="Aptos" w:hAnsi="Aptos"/>
          <w:b w:val="0"/>
          <w:i w:val="0"/>
          <w:color w:val="172033"/>
          <w:sz w:val="20"/>
        </w:rPr>
        <w:t>Madame, Monsieur,</w:t>
      </w:r>
    </w:p>
    <w:p>
      <w:pPr>
        <w:keepLines/>
        <w:widowControl/>
        <w:spacing w:after="120"/>
        <w:ind w:firstLine="312"/>
        <w:jc w:val="both"/>
      </w:pPr>
      <w:r>
        <w:rPr>
          <w:rFonts w:ascii="Aptos" w:hAnsi="Aptos"/>
          <w:b w:val="0"/>
          <w:i w:val="0"/>
          <w:color w:val="172033"/>
          <w:sz w:val="20"/>
        </w:rPr>
        <w:t>Je vous demande de clôturer mon compte courant après dénouement des opérations en cours. Les prélèvements récurrents ont été transférés et une provision de 420 euros est maintenue pour deux paiements par carte des 14 et 16 juillet.</w:t>
      </w:r>
    </w:p>
    <w:p>
      <w:pPr>
        <w:keepLines/>
        <w:widowControl/>
        <w:spacing w:after="120"/>
        <w:ind w:firstLine="312"/>
        <w:jc w:val="both"/>
      </w:pPr>
      <w:r>
        <w:rPr>
          <w:rFonts w:ascii="Aptos" w:hAnsi="Aptos"/>
          <w:b w:val="0"/>
          <w:i w:val="0"/>
          <w:color w:val="172033"/>
          <w:sz w:val="20"/>
        </w:rPr>
        <w:t>Lorsque ces opérations seront comptabilisées, merci de virer le solde créditeur vers le compte dont le RIB est joint. La carte terminant par 4821 a été découpée ; les quatre chèques inutilisés numéros 804112 à 804115 sont joints barrés et annulés.</w:t>
      </w:r>
    </w:p>
    <w:p>
      <w:pPr>
        <w:keepLines/>
        <w:widowControl/>
        <w:spacing w:after="120"/>
        <w:ind w:firstLine="312"/>
        <w:jc w:val="both"/>
      </w:pPr>
      <w:r>
        <w:rPr>
          <w:rFonts w:ascii="Aptos" w:hAnsi="Aptos"/>
          <w:b w:val="0"/>
          <w:i w:val="0"/>
          <w:color w:val="172033"/>
          <w:sz w:val="20"/>
        </w:rPr>
        <w:t>Je vous prie de confirmer la date de clôture, d'adresser le dernier relevé et de signaler toute opération empêchant temporairement la fermeture. Cette demande ne vaut pas contestation des frais régulièrement dus jusqu'à la clôture.</w:t>
      </w:r>
    </w:p>
    <w:p>
      <w:pPr>
        <w:spacing w:after="140"/>
        <w:jc w:val="both"/>
      </w:pPr>
      <w:r>
        <w:rPr>
          <w:rFonts w:ascii="Aptos" w:hAnsi="Aptos"/>
          <w:b w:val="0"/>
          <w:i w:val="0"/>
          <w:color w:val="172033"/>
          <w:sz w:val="20"/>
        </w:rPr>
        <w:t>Je vous remercie de me confirmer par écrit la date d'effet retenue et, le cas échéant, le solde restant ou le remboursement dû. Veuillez agréer, Madame, Monsieur, l'expression de mes salutations distinguées.</w:t>
      </w:r>
    </w:p>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933"/>
        <w:gridCol w:w="4933"/>
      </w:tblGrid>
      <w:tr>
        <w:tc>
          <w:tcPr>
            <w:tcW w:type="dxa" w:w="5953"/>
          </w:tcPr>
          <w:p>
            <w:r/>
            <w:r>
              <w:rPr>
                <w:rFonts w:ascii="Aptos" w:hAnsi="Aptos"/>
                <w:b/>
                <w:i w:val="0"/>
                <w:color w:val="3F3F46"/>
                <w:sz w:val="14"/>
              </w:rPr>
              <w:t>PIÈCES JOINTES</w:t>
            </w:r>
          </w:p>
          <w:p>
            <w:pPr>
              <w:pStyle w:val="ListBullet"/>
              <w:spacing w:after="0"/>
            </w:pPr>
            <w:r>
              <w:rPr>
                <w:rFonts w:ascii="Aptos" w:hAnsi="Aptos"/>
                <w:b w:val="0"/>
                <w:i w:val="0"/>
                <w:color w:val="475569"/>
                <w:sz w:val="16"/>
              </w:rPr>
              <w:t>RIB du compte destinataire</w:t>
            </w:r>
          </w:p>
          <w:p>
            <w:pPr>
              <w:pStyle w:val="ListBullet"/>
              <w:spacing w:after="0"/>
            </w:pPr>
            <w:r>
              <w:rPr>
                <w:rFonts w:ascii="Aptos" w:hAnsi="Aptos"/>
                <w:b w:val="0"/>
                <w:i w:val="0"/>
                <w:color w:val="475569"/>
                <w:sz w:val="16"/>
              </w:rPr>
              <w:t>Quatre chèques annulés</w:t>
            </w:r>
          </w:p>
          <w:p>
            <w:pPr>
              <w:pStyle w:val="ListBullet"/>
              <w:spacing w:after="0"/>
            </w:pPr>
            <w:r>
              <w:rPr>
                <w:rFonts w:ascii="Aptos" w:hAnsi="Aptos"/>
                <w:b w:val="0"/>
                <w:i w:val="0"/>
                <w:color w:val="475569"/>
                <w:sz w:val="16"/>
              </w:rPr>
              <w:t>Attestation de destruction de la carte</w:t>
            </w:r>
          </w:p>
        </w:tc>
        <w:tc>
          <w:tcPr>
            <w:tcW w:type="dxa" w:w="3118"/>
          </w:tcPr>
          <w:p>
            <w:pPr>
              <w:jc w:val="center"/>
            </w:pPr>
            <w:r/>
            <w:r>
              <w:rPr>
                <w:rFonts w:ascii="Aptos" w:hAnsi="Aptos"/>
                <w:b/>
                <w:i w:val="0"/>
                <w:color w:val="3F3F46"/>
                <w:sz w:val="14"/>
              </w:rPr>
              <w:t>Signature</w:t>
            </w:r>
          </w:p>
          <w:p>
            <w:pPr>
              <w:spacing w:before="180"/>
              <w:jc w:val="center"/>
            </w:pPr>
            <w:r>
              <w:rPr>
                <w:rFonts w:ascii="Aptos" w:hAnsi="Aptos"/>
                <w:b/>
                <w:i w:val="0"/>
                <w:color w:val="172033"/>
                <w:sz w:val="20"/>
              </w:rPr>
              <w:t>Louise Barbier</w:t>
            </w:r>
          </w:p>
        </w:tc>
      </w:tr>
    </w:tbl>
    <w:p>
      <w:pPr>
        <w:spacing w:before="80" w:after="0"/>
      </w:pPr>
      <w:r>
        <w:rPr>
          <w:rFonts w:ascii="Aptos" w:hAnsi="Aptos"/>
          <w:b/>
          <w:i w:val="0"/>
          <w:color w:val="3F3F46"/>
          <w:sz w:val="15"/>
        </w:rPr>
        <w:t xml:space="preserve">À CONSERVER · </w:t>
      </w:r>
      <w:r>
        <w:rPr>
          <w:rFonts w:ascii="Aptos" w:hAnsi="Aptos"/>
          <w:b w:val="0"/>
          <w:i w:val="0"/>
          <w:color w:val="475569"/>
          <w:sz w:val="15"/>
        </w:rPr>
        <w:t>Conserver une provision pour les opérations non débitées et vérifier les comptes, cartes, crédits ou coffres qui ne sont pas clôturés par cette seule lettre.</w:t>
      </w:r>
    </w:p>
    <w:sectPr w:rsidR="00FC693F" w:rsidRPr="0006063C" w:rsidSect="00034616">
      <w:headerReference w:type="default" r:id="rId9"/>
      <w:footerReference w:type="default" r:id="rId10"/>
      <w:pgSz w:w="11906" w:h="16838"/>
      <w:pgMar w:top="822" w:right="1020" w:bottom="765"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ptos" w:hAnsi="Aptos"/>
        <w:b w:val="0"/>
        <w:i w:val="0"/>
        <w:color w:val="64748B"/>
        <w:sz w:val="14"/>
      </w:rPr>
      <w:t>Document Word personnalisable — vérifier le contrat et le droit applicable avant envoi</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Aptos" w:hAnsi="Aptos"/>
        <w:b/>
        <w:i w:val="0"/>
        <w:color w:val="3F3F46"/>
        <w:sz w:val="14"/>
      </w:rPr>
      <w:t>EXEMPLE REMPLI · DONNÉES FICTIVES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59" w:lineRule="auto"/>
    </w:pPr>
    <w:rPr>
      <w:rFonts w:ascii="Aptos" w:hAnsi="Aptos"/>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