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Karim Lopez</w:t>
            </w:r>
          </w:p>
          <w:p>
            <w:pPr>
              <w:spacing w:after="0"/>
            </w:pPr>
            <w:r>
              <w:rPr>
                <w:rFonts w:ascii="Aptos" w:hAnsi="Aptos"/>
                <w:b w:val="0"/>
                <w:i w:val="0"/>
                <w:color w:val="172033"/>
                <w:sz w:val="18"/>
              </w:rPr>
              <w:t>25 rue des Arènes</w:t>
            </w:r>
          </w:p>
          <w:p>
            <w:pPr>
              <w:spacing w:after="0"/>
            </w:pPr>
            <w:r>
              <w:rPr>
                <w:rFonts w:ascii="Aptos" w:hAnsi="Aptos"/>
                <w:b w:val="0"/>
                <w:i w:val="0"/>
                <w:color w:val="172033"/>
                <w:sz w:val="18"/>
              </w:rPr>
              <w:t>30000 Nîmes</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Assurances Habitat Centre — organisme fictif</w:t>
            </w:r>
          </w:p>
          <w:p>
            <w:pPr>
              <w:spacing w:after="0"/>
            </w:pPr>
            <w:r>
              <w:rPr>
                <w:rFonts w:ascii="Aptos" w:hAnsi="Aptos"/>
                <w:b w:val="0"/>
                <w:i w:val="0"/>
                <w:color w:val="172033"/>
                <w:sz w:val="18"/>
              </w:rPr>
              <w:t>Service résiliations</w:t>
            </w:r>
          </w:p>
          <w:p>
            <w:pPr>
              <w:spacing w:after="0"/>
            </w:pPr>
            <w:r>
              <w:rPr>
                <w:rFonts w:ascii="Aptos" w:hAnsi="Aptos"/>
                <w:b w:val="0"/>
                <w:i w:val="0"/>
                <w:color w:val="172033"/>
                <w:sz w:val="18"/>
              </w:rPr>
              <w:t>6 rue du Rempart · 80000 Amiens</w:t>
            </w:r>
          </w:p>
        </w:tc>
      </w:tr>
    </w:tbl>
    <w:p>
      <w:pPr>
        <w:spacing w:after="0"/>
      </w:pPr>
    </w:p>
    <w:p>
      <w:pPr>
        <w:spacing w:after="100"/>
        <w:jc w:val="right"/>
      </w:pPr>
      <w:r>
        <w:rPr>
          <w:rFonts w:ascii="Aptos" w:hAnsi="Aptos"/>
          <w:b w:val="0"/>
          <w:i w:val="0"/>
          <w:color w:val="475569"/>
          <w:sz w:val="18"/>
        </w:rPr>
        <w:t>Amiens,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AHC-MRH-2024-6618</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BIEN</w:t>
              <w:br/>
            </w:r>
            <w:r>
              <w:rPr>
                <w:rFonts w:ascii="Aptos" w:hAnsi="Aptos"/>
                <w:b w:val="0"/>
                <w:i w:val="0"/>
                <w:color w:val="172033"/>
                <w:sz w:val="17"/>
              </w:rPr>
              <w:t>6 rue du Rempart, Amiens</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DÉBUT</w:t>
              <w:br/>
            </w:r>
            <w:r>
              <w:rPr>
                <w:rFonts w:ascii="Aptos" w:hAnsi="Aptos"/>
                <w:b w:val="0"/>
                <w:i w:val="0"/>
                <w:color w:val="172033"/>
                <w:sz w:val="17"/>
              </w:rPr>
              <w:t>01/05/2024</w:t>
            </w:r>
          </w:p>
        </w:tc>
      </w:tr>
    </w:tbl>
    <w:p>
      <w:pPr>
        <w:spacing w:after="0"/>
      </w:pPr>
    </w:p>
    <w:p>
      <w:pPr>
        <w:spacing w:after="80"/>
      </w:pPr>
      <w:r>
        <w:rPr>
          <w:rFonts w:ascii="Aptos" w:hAnsi="Aptos"/>
          <w:b/>
          <w:i w:val="0"/>
          <w:color w:val="14532D"/>
          <w:sz w:val="17"/>
        </w:rPr>
        <w:t>Notification depuis l'espace assuré avec accusé sur support durable</w:t>
      </w:r>
    </w:p>
    <w:p>
      <w:pPr>
        <w:keepLines/>
        <w:widowControl/>
        <w:spacing w:after="160"/>
      </w:pPr>
      <w:r>
        <w:rPr>
          <w:rFonts w:ascii="Aptos" w:hAnsi="Aptos"/>
          <w:b/>
          <w:i w:val="0"/>
          <w:color w:val="14532D"/>
          <w:sz w:val="22"/>
        </w:rPr>
        <w:t xml:space="preserve">Objet : </w:t>
      </w:r>
      <w:r>
        <w:rPr>
          <w:rFonts w:ascii="Aptos" w:hAnsi="Aptos"/>
          <w:b/>
          <w:i w:val="0"/>
          <w:color w:val="172033"/>
          <w:sz w:val="22"/>
        </w:rPr>
        <w:t>Résiliation infra-annuelle du contrat multirisque habitation</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Propriétaire occupant du logement assuré, je vous notifie la résiliation de la police AHC-MRH-2024-6618, souscrite le 1er mai 2024 et ayant dépassé sa première année. Aucun sinistre n'est en cours à la date de cette demande.</w:t>
      </w:r>
    </w:p>
    <w:p>
      <w:pPr>
        <w:keepLines/>
        <w:widowControl/>
        <w:spacing w:after="120"/>
        <w:ind w:firstLine="312"/>
        <w:jc w:val="both"/>
      </w:pPr>
      <w:r>
        <w:rPr>
          <w:rFonts w:ascii="Aptos" w:hAnsi="Aptos"/>
          <w:b w:val="0"/>
          <w:i w:val="0"/>
          <w:color w:val="172033"/>
          <w:sz w:val="20"/>
        </w:rPr>
        <w:t>Je vous demande de faire cesser les garanties un mois après réception. Une nouvelle couverture a été souscrite avec une date de prise d'effet coordonnée ; la maison restera donc assurée sans interruption pendant la transition.</w:t>
      </w:r>
    </w:p>
    <w:p>
      <w:pPr>
        <w:keepLines/>
        <w:widowControl/>
        <w:spacing w:after="120"/>
        <w:ind w:firstLine="312"/>
        <w:jc w:val="both"/>
      </w:pPr>
      <w:r>
        <w:rPr>
          <w:rFonts w:ascii="Aptos" w:hAnsi="Aptos"/>
          <w:b w:val="0"/>
          <w:i w:val="0"/>
          <w:color w:val="172033"/>
          <w:sz w:val="20"/>
        </w:rPr>
        <w:t>Merci de m'adresser l'avis de fin et de rembourser la fraction de cotisation éventuellement perçue pour la période postérieure à la date d'effet. Le calcul devra distinguer clairement la période couverte et les taxes régularisées.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Attestation de nouvelle assurance</w:t>
            </w:r>
          </w:p>
          <w:p>
            <w:pPr>
              <w:pStyle w:val="ListBullet"/>
              <w:spacing w:after="0"/>
            </w:pPr>
            <w:r>
              <w:rPr>
                <w:rFonts w:ascii="Aptos" w:hAnsi="Aptos"/>
                <w:b w:val="0"/>
                <w:i w:val="0"/>
                <w:color w:val="475569"/>
                <w:sz w:val="16"/>
              </w:rPr>
              <w:t>Conditions particulières de la police AHC-MRH-2024-6618</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Karim Lopez</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