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Leïla Roux</w:t>
            </w:r>
          </w:p>
          <w:p>
            <w:pPr>
              <w:spacing w:after="0"/>
            </w:pPr>
            <w:r>
              <w:rPr>
                <w:rFonts w:ascii="Aptos" w:hAnsi="Aptos"/>
                <w:b w:val="0"/>
                <w:i w:val="0"/>
                <w:color w:val="172033"/>
                <w:sz w:val="18"/>
              </w:rPr>
              <w:t>9 allée des Églantines</w:t>
            </w:r>
          </w:p>
          <w:p>
            <w:pPr>
              <w:spacing w:after="0"/>
            </w:pPr>
            <w:r>
              <w:rPr>
                <w:rFonts w:ascii="Aptos" w:hAnsi="Aptos"/>
                <w:b w:val="0"/>
                <w:i w:val="0"/>
                <w:color w:val="172033"/>
                <w:sz w:val="18"/>
              </w:rPr>
              <w:t>31000 Toulouse</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Garantie Mobile Sud — organisme fictif</w:t>
            </w:r>
          </w:p>
          <w:p>
            <w:pPr>
              <w:spacing w:after="0"/>
            </w:pPr>
            <w:r>
              <w:rPr>
                <w:rFonts w:ascii="Aptos" w:hAnsi="Aptos"/>
                <w:b w:val="0"/>
                <w:i w:val="0"/>
                <w:color w:val="172033"/>
                <w:sz w:val="18"/>
              </w:rPr>
              <w:t>Service résiliations</w:t>
            </w:r>
          </w:p>
          <w:p>
            <w:pPr>
              <w:spacing w:after="0"/>
            </w:pPr>
            <w:r>
              <w:rPr>
                <w:rFonts w:ascii="Aptos" w:hAnsi="Aptos"/>
                <w:b w:val="0"/>
                <w:i w:val="0"/>
                <w:color w:val="172033"/>
                <w:sz w:val="18"/>
              </w:rPr>
              <w:t>6 place Wilson · 31000 Toulouse</w:t>
            </w:r>
          </w:p>
        </w:tc>
      </w:tr>
    </w:tbl>
    <w:p>
      <w:pPr>
        <w:spacing w:after="0"/>
      </w:pPr>
    </w:p>
    <w:p>
      <w:pPr>
        <w:spacing w:after="100"/>
        <w:jc w:val="right"/>
      </w:pPr>
      <w:r>
        <w:rPr>
          <w:rFonts w:ascii="Aptos" w:hAnsi="Aptos"/>
          <w:b w:val="0"/>
          <w:i w:val="0"/>
          <w:color w:val="475569"/>
          <w:sz w:val="18"/>
        </w:rPr>
        <w:t>Toulouse,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CONTRAT</w:t>
              <w:br/>
            </w:r>
            <w:r>
              <w:rPr>
                <w:rFonts w:ascii="Aptos" w:hAnsi="Aptos"/>
                <w:b w:val="0"/>
                <w:i w:val="0"/>
                <w:color w:val="172033"/>
                <w:sz w:val="17"/>
              </w:rPr>
              <w:t>GM-2024-99016</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SOUSCRIPTION</w:t>
              <w:br/>
            </w:r>
            <w:r>
              <w:rPr>
                <w:rFonts w:ascii="Aptos" w:hAnsi="Aptos"/>
                <w:b w:val="0"/>
                <w:i w:val="0"/>
                <w:color w:val="172033"/>
                <w:sz w:val="17"/>
              </w:rPr>
              <w:t>04/03/2024</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APPAREIL</w:t>
              <w:br/>
            </w:r>
            <w:r>
              <w:rPr>
                <w:rFonts w:ascii="Aptos" w:hAnsi="Aptos"/>
                <w:b w:val="0"/>
                <w:i w:val="0"/>
                <w:color w:val="172033"/>
                <w:sz w:val="17"/>
              </w:rPr>
              <w:t>Téléphone série XQ-7621</w:t>
            </w:r>
          </w:p>
        </w:tc>
      </w:tr>
    </w:tbl>
    <w:p>
      <w:pPr>
        <w:spacing w:after="0"/>
      </w:pPr>
    </w:p>
    <w:p>
      <w:pPr>
        <w:spacing w:after="80"/>
      </w:pPr>
      <w:r>
        <w:rPr>
          <w:rFonts w:ascii="Aptos" w:hAnsi="Aptos"/>
          <w:b/>
          <w:i w:val="0"/>
          <w:color w:val="14532D"/>
          <w:sz w:val="17"/>
        </w:rPr>
        <w:t>Notification depuis l'espace client avec copie par courriel</w:t>
      </w:r>
    </w:p>
    <w:p>
      <w:pPr>
        <w:keepLines/>
        <w:widowControl/>
        <w:spacing w:after="160"/>
      </w:pPr>
      <w:r>
        <w:rPr>
          <w:rFonts w:ascii="Aptos" w:hAnsi="Aptos"/>
          <w:b/>
          <w:i w:val="0"/>
          <w:color w:val="14532D"/>
          <w:sz w:val="22"/>
        </w:rPr>
        <w:t xml:space="preserve">Objet : </w:t>
      </w:r>
      <w:r>
        <w:rPr>
          <w:rFonts w:ascii="Aptos" w:hAnsi="Aptos"/>
          <w:b/>
          <w:i w:val="0"/>
          <w:color w:val="172033"/>
          <w:sz w:val="22"/>
        </w:rPr>
        <w:t>Résiliation infra-annuelle de l'assurance appareil nomade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Mon contrat d'assurance appareil nomade a été souscrit le 4 mars 2024 et a donc dépassé sa première année. Je vous notifie aujourd'hui ma décision d'y mettre fin sans frais, selon le dispositif applicable à ce contrat.</w:t>
      </w:r>
    </w:p>
    <w:p>
      <w:pPr>
        <w:keepLines/>
        <w:widowControl/>
        <w:spacing w:after="120"/>
        <w:ind w:firstLine="312"/>
        <w:jc w:val="both"/>
      </w:pPr>
      <w:r>
        <w:rPr>
          <w:rFonts w:ascii="Aptos" w:hAnsi="Aptos"/>
          <w:b w:val="0"/>
          <w:i w:val="0"/>
          <w:color w:val="172033"/>
          <w:sz w:val="20"/>
        </w:rPr>
        <w:t>Je vous remercie de faire cesser les garanties un mois après la réception de cette notification et de ne plus prélever de cotisation au-delà de la période effectivement couverte. L'appareil assuré reste en ma possession et aucun sinistre n'est en cours.</w:t>
      </w:r>
    </w:p>
    <w:p>
      <w:pPr>
        <w:keepLines/>
        <w:widowControl/>
        <w:spacing w:after="120"/>
        <w:ind w:firstLine="312"/>
        <w:jc w:val="both"/>
      </w:pPr>
      <w:r>
        <w:rPr>
          <w:rFonts w:ascii="Aptos" w:hAnsi="Aptos"/>
          <w:b w:val="0"/>
          <w:i w:val="0"/>
          <w:color w:val="172033"/>
          <w:sz w:val="20"/>
        </w:rPr>
        <w:t>Si une fraction de cotisation a été encaissée pour une période postérieure à la date d'effet, merci de la rembourser dans le délai applicable et de détailler le calcul sur le relevé de clôture.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Attestation de souscription du 4 mars 2024</w:t>
            </w:r>
          </w:p>
          <w:p>
            <w:pPr>
              <w:pStyle w:val="ListBullet"/>
              <w:spacing w:after="0"/>
            </w:pPr>
            <w:r>
              <w:rPr>
                <w:rFonts w:ascii="Aptos" w:hAnsi="Aptos"/>
                <w:b w:val="0"/>
                <w:i w:val="0"/>
                <w:color w:val="475569"/>
                <w:sz w:val="16"/>
              </w:rPr>
              <w:t>Capture datée de l'accusé de dépôt en ligne</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Leïla Roux</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