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Noémie Boyer</w:t>
            </w:r>
          </w:p>
          <w:p>
            <w:pPr>
              <w:spacing w:after="0"/>
            </w:pPr>
            <w:r>
              <w:rPr>
                <w:rFonts w:ascii="Aptos" w:hAnsi="Aptos"/>
                <w:b w:val="0"/>
                <w:i w:val="0"/>
                <w:color w:val="172033"/>
                <w:sz w:val="18"/>
              </w:rPr>
              <w:t>17 avenue de Grammont</w:t>
            </w:r>
          </w:p>
          <w:p>
            <w:pPr>
              <w:spacing w:after="0"/>
            </w:pPr>
            <w:r>
              <w:rPr>
                <w:rFonts w:ascii="Aptos" w:hAnsi="Aptos"/>
                <w:b w:val="0"/>
                <w:i w:val="0"/>
                <w:color w:val="172033"/>
                <w:sz w:val="18"/>
              </w:rPr>
              <w:t>37000 Tours</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Académie des Métiers d'Art — organisme fictif</w:t>
            </w:r>
          </w:p>
          <w:p>
            <w:pPr>
              <w:spacing w:after="0"/>
            </w:pPr>
            <w:r>
              <w:rPr>
                <w:rFonts w:ascii="Aptos" w:hAnsi="Aptos"/>
                <w:b w:val="0"/>
                <w:i w:val="0"/>
                <w:color w:val="172033"/>
                <w:sz w:val="18"/>
              </w:rPr>
              <w:t>Service inscriptions</w:t>
            </w:r>
          </w:p>
          <w:p>
            <w:pPr>
              <w:spacing w:after="0"/>
            </w:pPr>
            <w:r>
              <w:rPr>
                <w:rFonts w:ascii="Aptos" w:hAnsi="Aptos"/>
                <w:b w:val="0"/>
                <w:i w:val="0"/>
                <w:color w:val="172033"/>
                <w:sz w:val="18"/>
              </w:rPr>
              <w:t>12 rue des Carmes · 37000 Tours</w:t>
            </w:r>
          </w:p>
        </w:tc>
      </w:tr>
    </w:tbl>
    <w:p>
      <w:pPr>
        <w:spacing w:after="0"/>
      </w:pPr>
    </w:p>
    <w:p>
      <w:pPr>
        <w:spacing w:after="100"/>
        <w:jc w:val="right"/>
      </w:pPr>
      <w:r>
        <w:rPr>
          <w:rFonts w:ascii="Aptos" w:hAnsi="Aptos"/>
          <w:b w:val="0"/>
          <w:i w:val="0"/>
          <w:color w:val="475569"/>
          <w:sz w:val="18"/>
        </w:rPr>
        <w:t>Tours,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INSCRIPTION</w:t>
              <w:br/>
            </w:r>
            <w:r>
              <w:rPr>
                <w:rFonts w:ascii="Aptos" w:hAnsi="Aptos"/>
                <w:b w:val="0"/>
                <w:i w:val="0"/>
                <w:color w:val="172033"/>
                <w:sz w:val="17"/>
              </w:rPr>
              <w:t>AMA-2026-9037</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ATELIER</w:t>
              <w:br/>
            </w:r>
            <w:r>
              <w:rPr>
                <w:rFonts w:ascii="Aptos" w:hAnsi="Aptos"/>
                <w:b w:val="0"/>
                <w:i w:val="0"/>
                <w:color w:val="172033"/>
                <w:sz w:val="17"/>
              </w:rPr>
              <w:t>Céramique — cycle annuel</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CLAUSE</w:t>
              <w:br/>
            </w:r>
            <w:r>
              <w:rPr>
                <w:rFonts w:ascii="Aptos" w:hAnsi="Aptos"/>
                <w:b w:val="0"/>
                <w:i w:val="0"/>
                <w:color w:val="172033"/>
                <w:sz w:val="17"/>
              </w:rPr>
              <w:t>Article 14.2</w:t>
            </w:r>
          </w:p>
        </w:tc>
      </w:tr>
    </w:tbl>
    <w:p>
      <w:pPr>
        <w:spacing w:after="0"/>
      </w:pPr>
    </w:p>
    <w:p>
      <w:pPr>
        <w:spacing w:after="80"/>
      </w:pPr>
      <w:r>
        <w:rPr>
          <w:rFonts w:ascii="Aptos" w:hAnsi="Aptos"/>
          <w:b/>
          <w:i w:val="0"/>
          <w:color w:val="334155"/>
          <w:sz w:val="17"/>
        </w:rPr>
        <w:t>Lettre recommandée avec justificatif limité aux informations utiles</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anticipée pour indisponibilité médicale prolongée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ne peux plus participer au cycle annuel de céramique depuis le 6 juillet 2026. L'attestation jointe confirme une indisponibilité supérieure à six mois, durée expressément visée à l'article 14.2 de vos conditions, sans divulguer mon diagnostic.</w:t>
      </w:r>
    </w:p>
    <w:p>
      <w:pPr>
        <w:keepLines/>
        <w:widowControl/>
        <w:spacing w:after="120"/>
        <w:ind w:firstLine="312"/>
        <w:jc w:val="both"/>
      </w:pPr>
      <w:r>
        <w:rPr>
          <w:rFonts w:ascii="Aptos" w:hAnsi="Aptos"/>
          <w:b w:val="0"/>
          <w:i w:val="0"/>
          <w:color w:val="172033"/>
          <w:sz w:val="20"/>
        </w:rPr>
        <w:t>Je sollicite l'application de cette clause de motif légitime et la résiliation anticipée de l'inscription AMA-2026-9037. Le matériel collectif n'a pas été emprunté et mon casier a été vidé le 10 juillet en présence de l'animatrice.</w:t>
      </w:r>
    </w:p>
    <w:p>
      <w:pPr>
        <w:keepLines/>
        <w:widowControl/>
        <w:spacing w:after="120"/>
        <w:ind w:firstLine="312"/>
        <w:jc w:val="both"/>
      </w:pPr>
      <w:r>
        <w:rPr>
          <w:rFonts w:ascii="Aptos" w:hAnsi="Aptos"/>
          <w:b w:val="0"/>
          <w:i w:val="0"/>
          <w:color w:val="172033"/>
          <w:sz w:val="20"/>
        </w:rPr>
        <w:t>Merci de confirmer la date d'effet et de détailler le calcul des sommes conservées ou remboursées selon les séances déjà dispensées. Si votre analyse diffère, je vous prie d'indiquer la clause précise et la voie de médiation compétente.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Attestation d'indisponibilité médicale prolongée</w:t>
            </w:r>
          </w:p>
          <w:p>
            <w:pPr>
              <w:pStyle w:val="ListBullet"/>
              <w:spacing w:after="0"/>
            </w:pPr>
            <w:r>
              <w:rPr>
                <w:rFonts w:ascii="Aptos" w:hAnsi="Aptos"/>
                <w:b w:val="0"/>
                <w:i w:val="0"/>
                <w:color w:val="475569"/>
                <w:sz w:val="16"/>
              </w:rPr>
              <w:t>Copie de l'article 14.2</w:t>
            </w:r>
          </w:p>
          <w:p>
            <w:pPr>
              <w:pStyle w:val="ListBullet"/>
              <w:spacing w:after="0"/>
            </w:pPr>
            <w:r>
              <w:rPr>
                <w:rFonts w:ascii="Aptos" w:hAnsi="Aptos"/>
                <w:b w:val="0"/>
                <w:i w:val="0"/>
                <w:color w:val="475569"/>
                <w:sz w:val="16"/>
              </w:rPr>
              <w:t>Reçu de restitution du casier</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Noémie Boyer</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Un motif légitime dépend du contrat ; transmettre uniquement les informations de santé nécessaires et conserver le refus motivé éventuel.</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