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Nadia Pelletier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Chargée d'accueil et d'information dans un musée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Grenoble</w:t>
        <w:tab/>
        <w:t>+33 6 00 70 92 03</w:t>
        <w:tab/>
        <w:t>nadia.pelletier@example.com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linkedin.com/in/nadia-pelletier-exemple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6 ans dans la culture et le tourisme. Cible : Chargée d'accueil et d'information dans un musée. La médiation de premier niveau, la billetterie et les groupes distinguent l'accueil culturel de l'accueil de siège.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information visiteurs | billetterie | accessibilité | gestion de groupes | logiciel billetterie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anglais B2 exemple | espagnol B1 exemple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Agente d'accueil office de tourisme</w:t>
      </w:r>
      <w:r>
        <w:rPr>
          <w:rFonts w:ascii="Calibri" w:hAnsi="Calibri" w:cs="Calibri"/>
          <w:b/>
          <w:color w:val="A04E34"/>
          <w:lang w:val="fr-FR" w:eastAsia="fr-FR"/>
        </w:rPr>
        <w:tab/>
        <w:t>2020 - 2022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Agente d'accueil office de tourisme 2020-2022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Orientation de 350 visiteurs par jour en haute saison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Gestion de 42 groupes scolaires sur un trimestre sans erreur de créneau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chargée d'accueil musée</w:t>
      </w:r>
      <w:r>
        <w:rPr>
          <w:rFonts w:ascii="Calibri" w:hAnsi="Calibri" w:cs="Calibri"/>
          <w:b/>
          <w:color w:val="A04E34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chargée d'accueil musée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à jour de 18 fiches d'information ayant réduit de 24 % les demandes répétitives au guichet [exemple à remplacer].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BTS tourisme 2020</w:t>
      </w:r>
      <w:r>
        <w:rPr>
          <w:rFonts w:ascii="Calibri" w:hAnsi="Calibri" w:cs="Calibri"/>
          <w:b/>
          <w:color w:val="A04E34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Grenoble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tourisme 2020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Espagnol : </w:t>
      </w:r>
      <w:r>
        <w:rPr>
          <w:rFonts w:ascii="Calibri" w:hAnsi="Calibri" w:cs="Calibri"/>
          <w:lang w:val="fr-FR" w:eastAsia="fr-FR"/>
        </w:rPr>
        <w:t>B1 - espagnol B1 exemple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Orientation de 350 visiteurs par jour en haute saison.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Nadia Pelletier | Chargée d'accueil et d'information dans un musée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Nadia Pelletier - Chargée d'accueil et d'information dans un musée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