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Inès Diallo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Coordinatrice logistique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Orléans</w:t>
        <w:tab/>
        <w:t>+33 6 00 61 33 01</w:t>
        <w:tab/>
        <w:t>ines.diallo@example.com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linkedin.com/in/ines-diallo-exemple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4 ans d’expérience, cible plateforme e-commerce. Cible : Coordinatrice logistique. Le modèle privilégie volumes, délais et fiabilité, les trois preuves les plus immédiatement exploitables en logistique.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Incoterms | gestion transporteurs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WMS | TMS | Excel avancé | Power Query | anglais B1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Coordinatrice</w:t>
      </w:r>
      <w:r>
        <w:rPr>
          <w:rFonts w:ascii="Calibri" w:hAnsi="Calibri" w:cs="Calibri"/>
          <w:b/>
          <w:color w:val="333333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Fluxia Distribution (fictif) | Orléans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planification, transporteurs, litiges et indicateurs de préparation.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taux d’expédition à l’heure maintenu à 97,4 % sur un pic de 6 800 colis par semaine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Assistante exploitation</w:t>
      </w:r>
      <w:r>
        <w:rPr>
          <w:rFonts w:ascii="Calibri" w:hAnsi="Calibri" w:cs="Calibri"/>
          <w:b/>
          <w:color w:val="333333"/>
          <w:lang w:val="fr-FR" w:eastAsia="fr-FR"/>
        </w:rPr>
        <w:tab/>
        <w:t>2020 - 2022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LogiCentre (fictif) | Orléans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créneaux, bons de transport et inventaires tournants.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litiges transport réduits de 22 % après mise en place d’un tableau de causes [exemple à remplacer].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BTS Gestion des transports et logistique associée</w:t>
      </w:r>
      <w:r>
        <w:rPr>
          <w:rFonts w:ascii="Calibri" w:hAnsi="Calibri" w:cs="Calibri"/>
          <w:b/>
          <w:color w:val="333333"/>
          <w:lang w:val="fr-FR" w:eastAsia="fr-FR"/>
        </w:rPr>
        <w:tab/>
        <w:t>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Orléans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Gestion des transports et logistique associée obtenu en 2020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B1 - anglais B1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taux d’expédition à l’heure maintenu à 97,4 % sur un pic de 6 800 colis par semaine.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Inès Diallo | Coordinatrice logistique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Inès Diallo - Coordinatrice logistique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