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Arthur Leclerc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Chargé de communication digitale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Rennes | +33 6 00 81 03 04 | arthur.leclerc@example.com | linkedin.com/in/arthur-leclerc-exemple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3 ans d’expérience, cible association nationale. Cible : Chargé de communication digitale. Une mise en page éditoriale contrôlée démontre le sens de la hiérarchie sans sacrifier la facilité d’édition dans Word.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Chargé de communication</w:t>
      </w:r>
      <w:r>
        <w:rPr>
          <w:rFonts w:ascii="Calibri" w:hAnsi="Calibri" w:cs="Calibri"/>
          <w:b/>
          <w:color w:val="4B4F9E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Réseau Rivages (association fictive)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calendrier éditorial, newsletter, réseaux sociaux et événements.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taux d’ouverture de la newsletter passé de 31 % à 39 % en huit mois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Stage long</w:t>
      </w:r>
      <w:r>
        <w:rPr>
          <w:rFonts w:ascii="Calibri" w:hAnsi="Calibri" w:cs="Calibri"/>
          <w:b/>
          <w:color w:val="4B4F9E"/>
          <w:lang w:val="fr-FR" w:eastAsia="fr-FR"/>
        </w:rPr>
        <w:tab/>
        <w:t>2022 - 2022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Studio Ker (fictif) en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contenus web, interviews et bilans de campagne.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46 contenus produits pour une campagne ayant généré 1 200 inscriptions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Brevo | rédaction web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Word | PowerPoint | CMS | Canva | Matomo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Projet appliqué : </w:t>
      </w:r>
      <w:r>
        <w:rPr>
          <w:rFonts w:ascii="Calibri" w:hAnsi="Calibri" w:cs="Calibri"/>
          <w:lang w:val="fr-FR" w:eastAsia="fr-FR"/>
        </w:rPr>
        <w:t>Master Communication des organisations obtenu en 2023, portfolio fictif sur portfolio.example.com.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Master Communication des organisations</w:t>
      </w:r>
      <w:r>
        <w:rPr>
          <w:rFonts w:ascii="Calibri" w:hAnsi="Calibri" w:cs="Calibri"/>
          <w:b/>
          <w:color w:val="4B4F9E"/>
          <w:lang w:val="fr-FR" w:eastAsia="fr-FR"/>
        </w:rPr>
        <w:tab/>
        <w:t>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Rennes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Communication des organisations obtenu en 2023, portfolio fictif sur portfolio.example.com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Arthur Leclerc | Chargé de communication digitale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F2434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Arthur Leclerc - Chargé de communication digitale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