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Julie Renard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Vendeuse spécialisée running et outdoor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Nantes</w:t>
        <w:tab/>
        <w:t>+33 6 00 81 41 04</w:t>
        <w:tab/>
        <w:t>julie.renard@example.com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linkedin.com/in/julie-renard-exemple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Junior confirmée, 3 ans. Cible : Vendeuse spécialisée running et outdoor. L'analyse d'usage, la technicité produit et le taux de retour différencient une vente spécialisée sport.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caractéristiques produit | vente | click-and-collect | inventaire | encaissement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analyse d'usage | PDA stock | anglais B1 exemple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Équipière rayon</w:t>
      </w:r>
      <w:r>
        <w:rPr>
          <w:rFonts w:ascii="Calibri" w:hAnsi="Calibri" w:cs="Calibri"/>
          <w:b/>
          <w:color w:val="4B4F9E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Équipière rayon 2023-2024 puis vendeuse spécialisée 2024-2026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Conseil moyen de 22 clients par jour sur chaussures et textile technique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Taux de retours sur les ventes conseillées de 4,1 %, inférieur de 1,5 point au rayon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Exactitude d'inventaire de 98,8 % sur 1 600 références [exemple à remplacer].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Formation professionnelle liée au métier - Junior confirmée, 3 ans</w:t>
      </w:r>
      <w:r>
        <w:rPr>
          <w:rFonts w:ascii="Calibri" w:hAnsi="Calibri" w:cs="Calibri"/>
          <w:b/>
          <w:color w:val="4B4F9E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Nantes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Junior confirmée, 3 ans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B1 - anglais B1 exemple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Conseil moyen de 22 clients par jour sur chaussures et textile technique.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Julie Renard | Vendeuse spécialisée running et outdoor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Julie Renard - Vendeuse spécialisée running et outdoor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