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Thomas Girard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Responsable paie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Angers</w:t>
        <w:tab/>
        <w:t>+33 6 00 17 16 03</w:t>
        <w:tab/>
        <w:t>thomas.girard@example.com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linkedin.com/in/thomas-girard-exemple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9 ans d’expérience, cible ETI de 800 salariés. Cible : Responsable paie. La confidentialité et la précision du contenu incarnent les exigences du métier de la paie.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paie | droit social | contrôle interne | management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DSN | Silae | Excel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Responsable paie</w:t>
      </w:r>
      <w:r>
        <w:rPr>
          <w:rFonts w:ascii="Calibri" w:hAnsi="Calibri" w:cs="Calibri"/>
          <w:b/>
          <w:color w:val="333333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Loire Énergie Services (ETI fictive) | Angers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équipe de quatre, 820 bulletins, DSN et contrôles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anomalies post-paie ramenées de 1,2 % à 0,35 % sur quatre campagnes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Gestionnaire paie</w:t>
      </w:r>
      <w:r>
        <w:rPr>
          <w:rFonts w:ascii="Calibri" w:hAnsi="Calibri" w:cs="Calibri"/>
          <w:b/>
          <w:color w:val="333333"/>
          <w:lang w:val="fr-FR" w:eastAsia="fr-FR"/>
        </w:rPr>
        <w:tab/>
        <w:t>2017 - 2020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Anjou RH (cabinet fictif) | Angers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portefeuille multiconventions et déclarations.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calendrier de contrôle partagé réduisant de deux jours la clôture mensuelle.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Licence professionnelle Métiers de la gestion et de la comptabilité</w:t>
      </w:r>
      <w:r>
        <w:rPr>
          <w:rFonts w:ascii="Calibri" w:hAnsi="Calibri" w:cs="Calibri"/>
          <w:b/>
          <w:color w:val="333333"/>
          <w:lang w:val="fr-FR" w:eastAsia="fr-FR"/>
        </w:rPr>
        <w:tab/>
        <w:t>2017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Angers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Licence professionnelle Métiers de la gestion et de la comptabilité obtenue en 2017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F1F1F1"/>
        <w:ind w:left="100" w:right="100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anomalies post-paie ramenées de 1,2 % à 0,35 % sur quatre campagnes.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Thomas Girard | Responsable paie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Thomas Girard - Responsable paie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