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Claire Masson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Juriste contrats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Paris</w:t>
        <w:tab/>
        <w:t>+33 6 00 15 58 00</w:t>
        <w:tab/>
        <w:t>claire.masson@example.com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linkedin.com/in/claire-masson-exemple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6 ans d’expérience, cible entreprise de services B2B. Cible : Juriste contrats. L’espace sert à rendre visibles les familles de contrats, les délais et les capacités de négociation, pas l’apparence.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Juriste contrats</w:t>
      </w:r>
      <w:r>
        <w:rPr>
          <w:rFonts w:ascii="Calibri" w:hAnsi="Calibri" w:cs="Calibri"/>
          <w:b/>
          <w:color w:val="A04E34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Pactis Services (entreprise fictive) | Paris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contrats clients, sous-traitance, négociation et suivi des risques.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délai moyen de revue d’un contrat standard ramené de six à trois jours ouvrés.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Juriste junior</w:t>
      </w:r>
      <w:r>
        <w:rPr>
          <w:rFonts w:ascii="Calibri" w:hAnsi="Calibri" w:cs="Calibri"/>
          <w:b/>
          <w:color w:val="A04E34"/>
          <w:lang w:val="fr-FR" w:eastAsia="fr-FR"/>
        </w:rPr>
        <w:tab/>
        <w:t>2019 - 2021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Lexovia (cabinet fictif) | Paris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recherches, clauses et veille.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bibliothèque de 28 clauses validées couvrant les risques récurrents [exemple à remplacer].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droit des contrats | négociation | veille | anglais juridique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RGPD | Word suivi des modifications | GED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Master 2 Droit des affaires</w:t>
      </w:r>
      <w:r>
        <w:rPr>
          <w:rFonts w:ascii="Calibri" w:hAnsi="Calibri" w:cs="Calibri"/>
          <w:b/>
          <w:color w:val="A04E34"/>
          <w:lang w:val="fr-FR" w:eastAsia="fr-FR"/>
        </w:rPr>
        <w:tab/>
        <w:t>2019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Paris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Master 2 Droit des affaires obtenu en 2019, anglais C1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délai moyen de revue d’un contrat standard ramené de six à trois jours ouvrés.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Claire Masson | Juriste contrats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Claire Masson - Juriste contrats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