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Claire Masson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Juriste contrats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Paris</w:t>
        <w:tab/>
        <w:t>+33 6 00 15 58 00</w:t>
        <w:tab/>
        <w:t>claire.masson@example.com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linkedin.com/in/claire-masson-exemple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6 ans d’expérience, cible entreprise de services B2B. Cible : Juriste contrats. L’espace sert à rendre visibles les familles de contrats, les délais et les capacités de négociation, pas l’apparence.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Juriste contrats</w:t>
      </w:r>
      <w:r>
        <w:rPr>
          <w:rFonts w:ascii="Calibri" w:hAnsi="Calibri" w:cs="Calibri"/>
          <w:b/>
          <w:color w:val="A04E34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Pactis Services (entreprise fictive) | Paris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contrats clients, sous-traitance, négociation et suivi des risques.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délai moyen de revue d’un contrat standard ramené de six à trois jours ouvrés.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Juriste junior</w:t>
      </w:r>
      <w:r>
        <w:rPr>
          <w:rFonts w:ascii="Calibri" w:hAnsi="Calibri" w:cs="Calibri"/>
          <w:b/>
          <w:color w:val="A04E34"/>
          <w:lang w:val="fr-FR" w:eastAsia="fr-FR"/>
        </w:rPr>
        <w:tab/>
        <w:t>2019 - 2021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Lexovia (cabinet fictif) | Paris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recherches, clauses et veille.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bibliothèque de 28 clauses validées couvrant les risques récurrents [exemple à remplacer].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droit des contrats | négociation | veille | anglais juridique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RGPD | Word suivi des modifications | GED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Master 2 Droit des affaires</w:t>
      </w:r>
      <w:r>
        <w:rPr>
          <w:rFonts w:ascii="Calibri" w:hAnsi="Calibri" w:cs="Calibri"/>
          <w:b/>
          <w:color w:val="A04E34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Paris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2 Droit des affaires obtenu en 2019, anglais C1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délai moyen de revue d’un contrat standard ramené de six à trois jours ouvrés.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Claire Masson | Juriste contrats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Claire Masson - Juriste contrats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