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Nora Bensaïd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Acheteuse junior après reconversion depuis la gestion hôtelière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Strasbourg</w:t>
        <w:tab/>
        <w:t>+33 6 00 07 56 00</w:t>
        <w:tab/>
        <w:t>nora.bensaid@example.com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linkedin.com/in/nora-bensaid-exemple</w:t>
      </w:r>
    </w:p>
    <w:p>
      <w:pPr>
        <w:pStyle w:val="CVNotice"/>
        <w:pBdr>
          <w:bottom w:val="single" w:sz="6" w:space="4" w:color="C9D5DB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analyse du besoin | sourcing et consultation | négociation | suivi fournisseurs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Excel TCD/RECHERCHEX | ERP achats niveau utilisateur | anglais B2 déclaré comme exemple</w:t>
      </w:r>
    </w:p>
    <w:p>
      <w:pPr>
        <w:pStyle w:val="CVSidebarSection"/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B2 - anglais B2 déclaré comme exemple</w:t>
      </w:r>
    </w:p>
    <w:p>
      <w:pPr>
        <w:pStyle w:val="CVSidebarSection"/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Responsable hébergement 2019-2025, coordinatrice réception 2016-2019, certificat professionnel achats…</w:t>
      </w:r>
      <w:r>
        <w:rPr>
          <w:rFonts w:ascii="Calibri" w:hAnsi="Calibri" w:cs="Calibri"/>
          <w:b/>
          <w:color w:val="295C7A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Strasbourg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Responsable hébergement 2019-2025, coordinatrice réception 2016-2019, certificat professionnel achats responsables 2026</w:t>
      </w:r>
    </w:p>
    <w:p>
      <w:pPr>
        <w:pStyle w:val="CVSidebarSection"/>
      </w:pPr>
      <w:r>
        <w:rPr>
          <w:rFonts w:ascii="Calibri" w:hAnsi="Calibri" w:cs="Calibri"/>
          <w:b/>
          <w:color w:val="295C7A"/>
          <w:lang w:val="fr-FR" w:eastAsia="fr-FR"/>
        </w:rPr>
        <w:t>CERTIFICATIONS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Responsable hébergement 2019-2025, coordinatrice réception 2016-2019, certificat professionnel… - </w:t>
      </w:r>
      <w:r>
        <w:rPr>
          <w:rFonts w:ascii="Calibri" w:hAnsi="Calibri" w:cs="Calibri"/>
          <w:lang w:val="fr-FR" w:eastAsia="fr-FR"/>
        </w:rPr>
        <w:t>Organisme de formation fictif, 2026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Reconversion, 7 ans d'expérience dont 1 certification achats. Cible : Acheteuse junior après reconversion depuis la gestion hôtelière. La logique compétences rend visibles les acquis transférables tout en rassurant par une chronologie complète et un projet achats explicite.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Responsable hébergement</w:t>
      </w:r>
      <w:r>
        <w:rPr>
          <w:rFonts w:ascii="Calibri" w:hAnsi="Calibri" w:cs="Calibri"/>
          <w:b/>
          <w:color w:val="295C7A"/>
          <w:lang w:val="fr-FR" w:eastAsia="fr-FR"/>
        </w:rPr>
        <w:tab/>
        <w:t>2019 - 2025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Strasbourg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Responsable hébergement 2019-2025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Renégociation de 18 contrats fournisseurs, économie annuelle de 9 %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coordinatrice réception</w:t>
      </w:r>
      <w:r>
        <w:rPr>
          <w:rFonts w:ascii="Calibri" w:hAnsi="Calibri" w:cs="Calibri"/>
          <w:b/>
          <w:color w:val="295C7A"/>
          <w:lang w:val="fr-FR" w:eastAsia="fr-FR"/>
        </w:rPr>
        <w:tab/>
        <w:t>2016 - 2019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Strasbourg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coordinatrice réception 2016-2019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Mise en place d'un tableau de suivi réduisant de 22 % les ruptures de consommables [exemple à remplacer].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certificat professionnel achats responsables</w:t>
      </w:r>
      <w:r>
        <w:rPr>
          <w:rFonts w:ascii="Calibri" w:hAnsi="Calibri" w:cs="Calibri"/>
          <w:b/>
          <w:color w:val="295C7A"/>
          <w:lang w:val="fr-FR" w:eastAsia="fr-FR"/>
        </w:rPr>
        <w:tab/>
        <w:t>2026 - 2026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Strasbourg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certificat professionnel achats responsables 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Consultation de 12 fournisseurs pour un budget de 280 k€ sous contrôle de la direction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Nora Bensaïd | Acheteuse junior après reconversion depuis la gestion hôtelière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6212D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95C7A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Nora Bensaïd - Acheteuse junior après reconversion depuis la gestion hôtelière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