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Maëva Colin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Cheffe de projet événementiel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Montpellier</w:t>
        <w:tab/>
        <w:t>+33 6 00 75 95 02</w:t>
        <w:tab/>
        <w:t>maeva.colin@example.com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linkedin.com/in/maeva-colin-exemple</w:t>
      </w:r>
    </w:p>
    <w:p>
      <w:pPr>
        <w:pStyle w:val="CVNotice"/>
        <w:pBdr>
          <w:bottom w:val="single" w:sz="6" w:space="4" w:color="E0CCC4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budget | rétroplanning | appels d’offres | régie | sécurité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Excel | Eventdrive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Licence professionnelle Communication événementielle</w:t>
      </w:r>
      <w:r>
        <w:rPr>
          <w:rFonts w:ascii="Calibri" w:hAnsi="Calibri" w:cs="Calibri"/>
          <w:b/>
          <w:color w:val="A04E34"/>
          <w:lang w:val="fr-FR" w:eastAsia="fr-FR"/>
        </w:rPr>
        <w:tab/>
        <w:t>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Université ou école fictive | Montpellier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Licence professionnelle Communication événementielle obtenue en 2019</w:t>
      </w:r>
    </w:p>
    <w:p>
      <w:pPr>
        <w:pStyle w:val="CVSidebarSection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Cheffe de projet chez Éclat Événements (agence fictive), 2021 à 2026 : </w:t>
      </w:r>
      <w:r>
        <w:rPr>
          <w:rFonts w:ascii="Calibri" w:hAnsi="Calibri" w:cs="Calibri"/>
          <w:lang w:val="fr-FR" w:eastAsia="fr-FR"/>
        </w:rPr>
        <w:t>budgets, prestataires, plannings, sécurité et bilans clients.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5 ans d’expérience, cible agence B2B. Cible : Cheffe de projet événementiel. Le rythme graphique évoque l’événementiel mais le budget, la capacité et le pilotage restent les preuves centrales.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Cheffe de projet</w:t>
      </w:r>
      <w:r>
        <w:rPr>
          <w:rFonts w:ascii="Calibri" w:hAnsi="Calibri" w:cs="Calibri"/>
          <w:b/>
          <w:color w:val="A04E34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Éclat Événements (agence fictive)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budgets, prestataires, plannings, sécurité et bilans clients.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pilotage de 14 événements annuels de 80 à 650 participants, budgets de 18 k€ à 120 k€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Coordinatrice</w:t>
      </w:r>
      <w:r>
        <w:rPr>
          <w:rFonts w:ascii="Calibri" w:hAnsi="Calibri" w:cs="Calibri"/>
          <w:b/>
          <w:color w:val="A04E34"/>
          <w:lang w:val="fr-FR" w:eastAsia="fr-FR"/>
        </w:rPr>
        <w:tab/>
        <w:t>2019 - 2021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Agora Sud (fictif)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logistique, inscriptions et régie de conférences.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marge moyenne améliorée de 4 points grâce à une grille commune de consultation fournisseurs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Maëva Colin | Cheffe de projet événementiel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Maëva Colin - Cheffe de projet événementiel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