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Lina Rousseau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UX designer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Paris | +33 6 00 97 18 04 | lina.rousseau@example.com | linkedin.com/in/lina-rousseau-exemple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4 ans d’expérience, cible équipe produit SaaS B2B. Cible : UX designer. Le design démontre la maîtrise de la hiérarchie tandis que les métriques relient les livrables UX à un effet produit.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UX designer</w:t>
      </w:r>
      <w:r>
        <w:rPr>
          <w:rFonts w:ascii="Calibri" w:hAnsi="Calibri" w:cs="Calibri"/>
          <w:b/>
          <w:color w:val="2F6B4F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Clario Produit (SaaS fictif) | Paris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recherche utilisateur, parcours, prototypes et tests avec produit et développement.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taux d’achèvement d’un parcours d’onboarding passé de 62 % à 78 % après deux cycles de test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Product designer junior</w:t>
      </w:r>
      <w:r>
        <w:rPr>
          <w:rFonts w:ascii="Calibri" w:hAnsi="Calibri" w:cs="Calibri"/>
          <w:b/>
          <w:color w:val="2F6B4F"/>
          <w:lang w:val="fr-FR" w:eastAsia="fr-FR"/>
        </w:rPr>
        <w:tab/>
        <w:t>2020 - 2022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Studio Nébuleuse (fictif) | Paris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design system, interfaces web et ateliers clients.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34 composants documentés, réduisant de 20 % le temps de maquettage d’un flux courant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recherche utilisateur | prototypage | tests modérés | design system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Figma | accessibilité RGAA | anglais C1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C1 - anglais C1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Projet appliqué : </w:t>
      </w:r>
      <w:r>
        <w:rPr>
          <w:rFonts w:ascii="Calibri" w:hAnsi="Calibri" w:cs="Calibri"/>
          <w:lang w:val="fr-FR" w:eastAsia="fr-FR"/>
        </w:rPr>
        <w:t>Master Design d’interaction obtenu en 2020 ; portfolio fictif avec trois études de cas.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Master Design d’interaction</w:t>
      </w:r>
      <w:r>
        <w:rPr>
          <w:rFonts w:ascii="Calibri" w:hAnsi="Calibri" w:cs="Calibri"/>
          <w:b/>
          <w:color w:val="2F6B4F"/>
          <w:lang w:val="fr-FR" w:eastAsia="fr-FR"/>
        </w:rPr>
        <w:tab/>
        <w:t>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Paris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Design d’interaction obtenu en 2020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Lina Rousseau | UX designer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82820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Lina Rousseau - UX designer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