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Mathilde Sorel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Analyste financière et ESG buy-side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Strasbourg | +33 6 00 32 97 01 | mathilde.sorel@example.com | linkedin.com/in/mathilde-sorel-exemple</w:t>
      </w:r>
    </w:p>
    <w:p>
      <w:pPr>
        <w:pStyle w:val="CVNotice"/>
        <w:pBdr>
          <w:bottom w:val="single" w:sz="6" w:space="4" w:color="D0D1E8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ection"/>
        <w:jc w:val="left"/>
      </w:pPr>
      <w:r>
        <w:rPr>
          <w:rFonts w:ascii="Calibri" w:hAnsi="Calibri" w:cs="Calibri"/>
          <w:b/>
          <w:color w:val="4B4F9E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Confirmée, 6 ans dont 3 en ESG. Cible : Analyste financière et ESG buy-side. L'univers couvert, les méthodes de valorisation et l'intégration ESG rendent le profil spécifique à la recherche financière.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jc w:val="left"/>
      </w:pPr>
      <w:r>
        <w:rPr>
          <w:rFonts w:ascii="Calibri" w:hAnsi="Calibri" w:cs="Calibri"/>
          <w:b/>
          <w:color w:val="4B4F9E"/>
          <w:lang w:val="fr-FR" w:eastAsia="fr-FR"/>
        </w:rPr>
        <w:t>EXPÉRIENCE PROFESSIONNELLE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Analyste actions junior</w:t>
      </w:r>
      <w:r>
        <w:rPr>
          <w:rFonts w:ascii="Calibri" w:hAnsi="Calibri" w:cs="Calibri"/>
          <w:b/>
          <w:color w:val="4B4F9E"/>
          <w:lang w:val="fr-FR" w:eastAsia="fr-FR"/>
        </w:rPr>
        <w:tab/>
        <w:t>2020 - 2026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Strasbourg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Analyste actions junior 2020-2023 puis analyste financière et ESG 2023-2026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Couverture de 28 émetteurs européens dans 4 secteurs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Production de 46 notes d'investissement intégrant risques financiers et ESG en un an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Réduction de 20 % du temps de collecte grâce à un modèle de données documenté [exemple à remplacer].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4B4F9E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analyse sectorielle | lecture de rapports annuels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valorisation DCF | matérialité ESG | Bloomberg exemple | MSCI ESG exemple | Excel | Python bases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4B4F9E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4B4F9E"/>
          <w:lang w:val="fr-FR" w:eastAsia="fr-FR"/>
        </w:rPr>
        <w:t>CERTIFICATIONS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CFA Level II candidate indiqué comme exemple non acquis - </w:t>
      </w:r>
      <w:r>
        <w:rPr>
          <w:rFonts w:ascii="Calibri" w:hAnsi="Calibri" w:cs="Calibri"/>
          <w:lang w:val="fr-FR" w:eastAsia="fr-FR"/>
        </w:rPr>
        <w:t>Organisme de formation fictif, 2026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4B4F9E"/>
          <w:lang w:val="fr-FR" w:eastAsia="fr-FR"/>
        </w:rPr>
        <w:t>FORMATION</w:t>
      </w:r>
    </w:p>
    <w:p>
      <w:pPr>
        <w:pStyle w:val="CVEntryTitle"/>
        <w:tabs>
          <w:tab w:pos="3175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Master finance 2020</w:t>
      </w:r>
      <w:r>
        <w:rPr>
          <w:rFonts w:ascii="Calibri" w:hAnsi="Calibri" w:cs="Calibri"/>
          <w:b/>
          <w:color w:val="4B4F9E"/>
          <w:lang w:val="fr-FR" w:eastAsia="fr-FR"/>
        </w:rPr>
        <w:tab/>
        <w:t>2020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Université ou école fictive | Strasbourg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Master finance 2020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6577" w:space="340"/>
        <w:col w:w="3174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F61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F6170"/>
        <w:sz w:val="14"/>
        <w:lang w:val="fr-FR" w:eastAsia="fr-FR"/>
      </w:rPr>
      <w:t>CV - Mathilde Sorel | Analyste financière et ESG buy-side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4B4F9E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F2434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F2434"/>
      <w:spacing w:val="5"/>
      <w:kern w:val="28"/>
      <w:sz w:val="5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4B4F9E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center"/>
    </w:pPr>
    <w:rPr>
      <w:rFonts w:ascii="Calibri" w:hAnsi="Calibri" w:cs="Calibri"/>
      <w:b/>
      <w:i w:val="0"/>
      <w:color w:val="1F2434"/>
      <w:sz w:val="5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/>
      <w:i w:val="0"/>
      <w:color w:val="4B4F9E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center"/>
    </w:pPr>
    <w:rPr>
      <w:rFonts w:ascii="Calibri" w:hAnsi="Calibri" w:cs="Calibri"/>
      <w:b w:val="0"/>
      <w:i w:val="0"/>
      <w:color w:val="5F61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 w:val="0"/>
      <w:i/>
      <w:color w:val="5F61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F2434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F61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F2434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Mathilde Sorel - Analyste financière et ESG buy-side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layout=editorial;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