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Samira Colin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Comptable fournisseurs dans un groupe industriel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Lille</w:t>
        <w:tab/>
        <w:t>+33 6 00 45 85 04</w:t>
        <w:tab/>
        <w:t>samira.colin@example.com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linkedin.com/in/samira-colin-exemple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AF2ED"/>
        <w:ind w:left="100" w:right="100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6 ans. Cible : Comptable fournisseurs dans un groupe industriel. Le volume, le taux de rapprochement, les litiges et SAP distinguent une spécialiste fournisseurs d'un comptable généraliste.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AF2ED"/>
        <w:ind w:left="100" w:right="100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procure-to-pay | rapprochement | cut-off | litiges | outil de dématérialisation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SAP FI | Excel RECHERCHEX | anglais B2 exemple</w:t>
      </w:r>
    </w:p>
    <w:p>
      <w:pPr>
        <w:pStyle w:val="CVSection"/>
        <w:shd w:val="clear" w:color="auto" w:fill="EAF2ED"/>
        <w:ind w:left="100" w:right="100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Assistante comptable</w:t>
      </w:r>
      <w:r>
        <w:rPr>
          <w:rFonts w:ascii="Calibri" w:hAnsi="Calibri" w:cs="Calibri"/>
          <w:b/>
          <w:color w:val="2F6B4F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Lille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Assistante comptable 2020-2021 puis comptable fournisseurs 2021-2026 sur deux entités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Contrôle de 1 100 factures mensuelles sur deux sociétés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34 % des factures bloquées depuis plus de 30 jours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Rapprochement de 98,7 % des comptes fournisseurs avant clôture mensuelle [exemple à remplacer].</w:t>
      </w:r>
    </w:p>
    <w:p>
      <w:pPr>
        <w:pStyle w:val="CVSection"/>
        <w:shd w:val="clear" w:color="auto" w:fill="EAF2ED"/>
        <w:ind w:left="100" w:right="100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licence professionnelle métiers de la gestion et de la comptabilité</w:t>
      </w:r>
      <w:r>
        <w:rPr>
          <w:rFonts w:ascii="Calibri" w:hAnsi="Calibri" w:cs="Calibri"/>
          <w:b/>
          <w:color w:val="2F6B4F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Lille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licence professionnelle métiers de la gestion et de la comptabilité</w:t>
      </w:r>
    </w:p>
    <w:p>
      <w:pPr>
        <w:pStyle w:val="CVSection"/>
        <w:shd w:val="clear" w:color="auto" w:fill="EAF2ED"/>
        <w:ind w:left="100" w:right="100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ection"/>
        <w:shd w:val="clear" w:color="auto" w:fill="EAF2ED"/>
        <w:ind w:left="100" w:right="100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Contrôle de 1 100 factures mensuelles sur deux sociétés.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Samira Colin | Comptable fournisseurs dans un groupe industriel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Samira Colin - Comptable fournisseurs dans un groupe industriel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