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Rémi Gauthier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Technico-commercial en solutions énergétiques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Lyon</w:t>
        <w:tab/>
        <w:t>+33 6 00 23 26 03</w:t>
        <w:tab/>
        <w:t>remi.gauthier@example.com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linkedin.com/in/remi-gauthier-exemple</w:t>
      </w:r>
    </w:p>
    <w:p>
      <w:pPr>
        <w:pStyle w:val="CVNotice"/>
        <w:pBdr>
          <w:bottom w:val="single" w:sz="6" w:space="4" w:color="C8D7CE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qualification technique | chiffrage | réponse à consultation | négociation | outil de devis | lecture de plans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CRM Dynamics exemple | anglais B2 exemple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 exemple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DUT génie thermique</w:t>
      </w:r>
      <w:r>
        <w:rPr>
          <w:rFonts w:ascii="Calibri" w:hAnsi="Calibri" w:cs="Calibri"/>
          <w:b/>
          <w:color w:val="2F6B4F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Lyon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DUT génie thermique</w:t>
      </w:r>
    </w:p>
    <w:p>
      <w:pPr>
        <w:pStyle w:val="CVSidebarSection"/>
      </w:pPr>
      <w:r>
        <w:rPr>
          <w:rFonts w:ascii="Calibri" w:hAnsi="Calibri" w:cs="Calibri"/>
          <w:b/>
          <w:color w:val="2F6B4F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F6B4F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Signature de 17 projets représentant 2,4 M€ de commandes en 2025.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2F6B4F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Expérimenté, 9 ans dont 5 en vente technique. Cible : Technico-commercial en solutions énergétiques. Le CV articule crédibilité technique, chiffrage et vente complexe au lieu d'un discours commercial générique.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2F6B4F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2820"/>
          <w:lang w:val="fr-FR" w:eastAsia="fr-FR"/>
        </w:rPr>
        <w:t>Technicien études</w:t>
      </w:r>
      <w:r>
        <w:rPr>
          <w:rFonts w:ascii="Calibri" w:hAnsi="Calibri" w:cs="Calibri"/>
          <w:b/>
          <w:color w:val="2F6B4F"/>
          <w:lang w:val="fr-FR" w:eastAsia="fr-FR"/>
        </w:rPr>
        <w:tab/>
        <w:t>2017 - 2026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Lyon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Technicien études 2017-2021 puis technico-commercial 2021-2026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Signature de 17 projets représentant 2,4 M€ de commandes en 2025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Taux de transformation des offres techniques passé de 21 % à 28 %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19 % des retours avant-vente grâce à une grille de qualification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6635B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6635B"/>
        <w:sz w:val="14"/>
        <w:lang w:val="fr-FR" w:eastAsia="fr-FR"/>
      </w:rPr>
      <w:t>CV - Rémi Gauthier | Technico-commercial en solutions énergétiques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F6B4F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2820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2820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F6B4F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2820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F6B4F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6635B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6635B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2820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F6B4F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2820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6635B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2820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2820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Rémi Gauthier - Technico-commercial en solutions énergétiques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