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Lina Boulanger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Account Executive SaaS SMB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Tours | +33 6 00 25 82 01 | lina.boulanger@example.com | linkedin.com/in/lina-boulanger-exemple</w:t>
      </w:r>
    </w:p>
    <w:p>
      <w:pPr>
        <w:pStyle w:val="CVNotice"/>
        <w:pBdr>
          <w:bottom w:val="single" w:sz="6" w:space="4" w:color="C9D5DB"/>
        </w:pBdr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Break"/>
        <w:spacing w:before="0" w:after="0" w:lineRule="exact" w:line="20"/>
        <w:sectPr>
          <w:headerReference w:type="default" r:id="rId9"/>
          <w:headerReference w:type="first" r:id="rId10"/>
          <w:footerReference w:type="default" r:id="rId11"/>
          <w:pgSz w:w="11906" w:h="16838"/>
          <w:pgMar w:top="794" w:right="907" w:bottom="794" w:left="907" w:header="397" w:footer="397" w:gutter="0"/>
          <w:cols w:num="1" w:space="0">
            <w:col w:w="10091" w:space="0"/>
          </w:cols>
          <w:titlePg/>
          <w:docGrid w:linePitch="360"/>
        </w:sectPr>
      </w:pPr>
    </w:p>
    <w:p>
      <w:pPr>
        <w:pStyle w:val="CVSection"/>
        <w:jc w:val="left"/>
      </w:pPr>
      <w:r>
        <w:rPr>
          <w:rFonts w:ascii="Calibri" w:hAnsi="Calibri" w:cs="Calibri"/>
          <w:b/>
          <w:color w:val="295C7A"/>
          <w:lang w:val="fr-FR" w:eastAsia="fr-FR"/>
        </w:rPr>
        <w:t>PROFIL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Confirmée, 4 ans. Cible : Account Executive SaaS SMB. ARR, quota, conversion et cycle positionnent clairement le profil sur une vente logicielle récurrente.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  <w:jc w:val="left"/>
      </w:pPr>
      <w:r>
        <w:rPr>
          <w:rFonts w:ascii="Calibri" w:hAnsi="Calibri" w:cs="Calibri"/>
          <w:b/>
          <w:color w:val="295C7A"/>
          <w:lang w:val="fr-FR" w:eastAsia="fr-FR"/>
        </w:rPr>
        <w:t>EXPÉRIENCE PROFESSIONNELLE</w:t>
      </w:r>
    </w:p>
    <w:p>
      <w:pPr>
        <w:pStyle w:val="CVEntryTitle"/>
        <w:tabs>
          <w:tab w:pos="6576" w:val="right"/>
        </w:tabs>
      </w:pPr>
      <w:r>
        <w:rPr>
          <w:rFonts w:ascii="Calibri" w:hAnsi="Calibri" w:cs="Calibri"/>
          <w:b/>
          <w:color w:val="16212D"/>
          <w:lang w:val="fr-FR" w:eastAsia="fr-FR"/>
        </w:rPr>
        <w:t>SDR</w:t>
      </w:r>
      <w:r>
        <w:rPr>
          <w:rFonts w:ascii="Calibri" w:hAnsi="Calibri" w:cs="Calibri"/>
          <w:b/>
          <w:color w:val="295C7A"/>
          <w:lang w:val="fr-FR" w:eastAsia="fr-FR"/>
        </w:rPr>
        <w:tab/>
        <w:t>2022 - 2023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Tours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SDR 2022-2023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420 k€ d'ARR signé en 2025, soit 112 % du quota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Cycle médian réduit de 52 à 44 jours grâce à une qualification renforcée [exemple à remplacer].</w:t>
      </w:r>
    </w:p>
    <w:p>
      <w:pPr>
        <w:pStyle w:val="CVEntryTitle"/>
        <w:tabs>
          <w:tab w:pos="6576" w:val="right"/>
        </w:tabs>
      </w:pPr>
      <w:r>
        <w:rPr>
          <w:rFonts w:ascii="Calibri" w:hAnsi="Calibri" w:cs="Calibri"/>
          <w:b/>
          <w:color w:val="16212D"/>
          <w:lang w:val="fr-FR" w:eastAsia="fr-FR"/>
        </w:rPr>
        <w:t>Account Executive</w:t>
      </w:r>
      <w:r>
        <w:rPr>
          <w:rFonts w:ascii="Calibri" w:hAnsi="Calibri" w:cs="Calibri"/>
          <w:b/>
          <w:color w:val="295C7A"/>
          <w:lang w:val="fr-FR" w:eastAsia="fr-FR"/>
        </w:rPr>
        <w:tab/>
        <w:t>2023 - 2026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Tours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Account Executive 2023-2026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Taux de conversion opportunité-client porté de 24 % à 29 % [exemple à remplacer].</w:t>
      </w:r>
    </w:p>
    <w:p>
      <w:pPr>
        <w:pStyle w:val="CVSectionBreak"/>
        <w:spacing w:before="0" w:after="0" w:lineRule="exact" w:line="20"/>
      </w:pPr>
      <w:r>
        <w:br w:type="column"/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295C7A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295C7A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discovery | démonstration | business case | closing | Gong exemple</w:t>
      </w:r>
    </w:p>
    <w:p>
      <w:pPr>
        <w:pStyle w:val="CVSkill"/>
      </w:pPr>
      <w:r>
        <w:rPr>
          <w:rFonts w:ascii="Calibri" w:hAnsi="Calibri" w:cs="Calibri"/>
          <w:b/>
          <w:color w:val="295C7A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MEDDICC connaissance exemple | HubSpot | anglais C1 exemple</w:t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295C7A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295C7A"/>
          <w:lang w:val="fr-FR" w:eastAsia="fr-FR"/>
        </w:rPr>
        <w:t xml:space="preserve">Anglais : </w:t>
      </w:r>
      <w:r>
        <w:rPr>
          <w:rFonts w:ascii="Calibri" w:hAnsi="Calibri" w:cs="Calibri"/>
          <w:lang w:val="fr-FR" w:eastAsia="fr-FR"/>
        </w:rPr>
        <w:t>C1 - anglais C1 exemple</w:t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295C7A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295C7A"/>
          <w:lang w:val="fr-FR" w:eastAsia="fr-FR"/>
        </w:rPr>
        <w:t xml:space="preserve">Amélioration métier documentée : </w:t>
      </w:r>
      <w:r>
        <w:rPr>
          <w:rFonts w:ascii="Calibri" w:hAnsi="Calibri" w:cs="Calibri"/>
          <w:lang w:val="fr-FR" w:eastAsia="fr-FR"/>
        </w:rPr>
        <w:t>[Exemple fictif] 420 k€ d'ARR signé en 2025, soit 112 % du quota.</w:t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295C7A"/>
          <w:lang w:val="fr-FR" w:eastAsia="fr-FR"/>
        </w:rPr>
        <w:t>FORMATION</w:t>
      </w:r>
    </w:p>
    <w:p>
      <w:pPr>
        <w:pStyle w:val="CVEntryTitle"/>
        <w:tabs>
          <w:tab w:pos="3175" w:val="right"/>
        </w:tabs>
      </w:pPr>
      <w:r>
        <w:rPr>
          <w:rFonts w:ascii="Calibri" w:hAnsi="Calibri" w:cs="Calibri"/>
          <w:b/>
          <w:color w:val="16212D"/>
          <w:lang w:val="fr-FR" w:eastAsia="fr-FR"/>
        </w:rPr>
        <w:t>Formation professionnelle liée au métier - Confirmée, 4 ans</w:t>
      </w:r>
      <w:r>
        <w:rPr>
          <w:rFonts w:ascii="Calibri" w:hAnsi="Calibri" w:cs="Calibri"/>
          <w:b/>
          <w:color w:val="295C7A"/>
          <w:lang w:val="fr-FR" w:eastAsia="fr-FR"/>
        </w:rPr>
        <w:tab/>
        <w:t>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Établissement de formation fictif | Tours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Formation professionnelle liée au métier - Confirmée, 4 ans</w:t>
      </w:r>
    </w:p>
    <w:sectPr w:rsidR="00FC693F" w:rsidRPr="0006063C" w:rsidSect="00034616">
      <w:type w:val="continuous"/>
      <w:pgSz w:w="11906" w:h="16838"/>
      <w:pgMar w:top="794" w:right="907" w:bottom="794" w:left="907" w:header="397" w:footer="397" w:gutter="0"/>
      <w:cols w:num="2" w:space="340" w:equalWidth="0">
        <w:col w:w="6577" w:space="340"/>
        <w:col w:w="3174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  <w:tab w:pos="10091" w:val="right"/>
      </w:tabs>
      <w:spacing w:before="0" w:after="0"/>
    </w:pPr>
    <w:r/>
    <w:r>
      <w:rPr>
        <w:rFonts w:ascii="Calibri" w:hAnsi="Calibri" w:cs="Calibri"/>
        <w:color w:val="5B6670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B6670"/>
        <w:sz w:val="14"/>
        <w:lang w:val="fr-FR" w:eastAsia="fr-FR"/>
      </w:rPr>
      <w:t>CV - Lina Boulanger | Account Executive SaaS SMB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295C7A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6212D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6212D"/>
      <w:spacing w:val="5"/>
      <w:kern w:val="28"/>
      <w:sz w:val="58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295C7A"/>
      <w:spacing w:val="15"/>
      <w:sz w:val="25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center"/>
    </w:pPr>
    <w:rPr>
      <w:rFonts w:ascii="Calibri" w:hAnsi="Calibri" w:cs="Calibri"/>
      <w:b/>
      <w:i w:val="0"/>
      <w:color w:val="16212D"/>
      <w:sz w:val="58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center"/>
    </w:pPr>
    <w:rPr>
      <w:rFonts w:ascii="Calibri" w:hAnsi="Calibri" w:cs="Calibri"/>
      <w:b/>
      <w:i w:val="0"/>
      <w:color w:val="295C7A"/>
      <w:sz w:val="25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center"/>
    </w:pPr>
    <w:rPr>
      <w:rFonts w:ascii="Calibri" w:hAnsi="Calibri" w:cs="Calibri"/>
      <w:b w:val="0"/>
      <w:i w:val="0"/>
      <w:color w:val="5B6670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center"/>
    </w:pPr>
    <w:rPr>
      <w:rFonts w:ascii="Calibri" w:hAnsi="Calibri" w:cs="Calibri"/>
      <w:b w:val="0"/>
      <w:i/>
      <w:color w:val="5B6670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6212D"/>
      <w:sz w:val="17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295C7A"/>
      <w:sz w:val="20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295C7A"/>
      <w:sz w:val="19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6212D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B6670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6212D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6212D"/>
      <w:sz w:val="16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6212D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Lina Boulanger - Account Executive SaaS SMB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layout=editorial;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