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Manon Lefèvre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Aide-soignante en service de médecine polyvalente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Nantes</w:t>
        <w:tab/>
        <w:t>+33 6 00 35 37 04</w:t>
        <w:tab/>
        <w:t>manon.lefevre@example.com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linkedin.com/in/manon-lefevre-exemple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Débutante, DEAS obtenu en 2026, 22 semaines de stages ciblés. Cible : Aide-soignante en service de médecine polyvalente. Un recruteur hospitalier doit voir immédiatement le DEAS, les services pratiqués et la capacité à travailler en binôme et en équipe.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DEAS</w:t>
      </w:r>
      <w:r>
        <w:rPr>
          <w:rFonts w:ascii="Calibri" w:hAnsi="Calibri" w:cs="Calibri"/>
          <w:b/>
          <w:color w:val="295C7A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DEAS 2025-2026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Participation à l'accompagnement quotidien d'un secteur de 10 à 12 patients sous organisation de l'équipe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100 % des transmissions de stage saisies dans le délai demandé après validation du tuteur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Création d'une fiche mémo manutention utilisée par 7 élèves de la promotion [exemple à remplacer].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soins d'hygiène et de confort | observation clinique | aide à la mobilité | prévention d'escarres | transmissions ciblées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DPI niveau utilisateur | AFGSU 2 si réellement détenue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DEAS 2025-2026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Nantes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DEAS 2025-2026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Participation à l'accompagnement quotidien d'un secteur de 10 à 12 patients sous organisation de l'équipe.</w:t>
      </w:r>
    </w:p>
    <w:p>
      <w:pPr>
        <w:pStyle w:val="CVSection"/>
        <w:pBdr>
          <w:bottom w:val="single" w:sz="4" w:space="2" w:color="C9D5DB"/>
        </w:pBdr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Manon Lefèvre | Aide-soignante en service de médecine polyvalente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4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4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Manon Lefèvre - Aide-soignante en service de médecine polyvalente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layout=ats_strict;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