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754C24"/>
            </w:tcBorders>
          </w:tcPr>
          <w:p>
            <w:r>
              <w:rPr>
                <w:rFonts w:ascii="Arial" w:hAnsi="Arial"/>
                <w:b/>
                <w:i w:val="0"/>
                <w:color w:val="754C24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Mme Sonia Lambert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27 rue des Tilleuls, 37000 Tours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F8F0E6"/>
            <w:tcBorders>
              <w:bottom w:val="single" w:sz="12" w:color="754C24"/>
            </w:tcBorders>
          </w:tcPr>
          <w:p>
            <w:r>
              <w:rPr>
                <w:rFonts w:ascii="Arial" w:hAnsi="Arial"/>
                <w:b/>
                <w:i w:val="0"/>
                <w:color w:val="754C24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M. Julien Perrin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5 rue du Commerce, 37200 Tours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754C24"/>
          <w:sz w:val="16"/>
        </w:rPr>
        <w:t>Lettre recommandée avec avis de réception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8F0E6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54C24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Mise en demeure de régler le solde du prêt du 12 janvier 2026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Prêt SL-JP-2026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La reconnaissance de dette signée le 12 janvier 2026 prévoit le remboursement de 2 400 euros au plus tard le 30 juin 2026.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Après votre versement de 900 euros le 15 avril, le solde exigible est de 1 500 euros. Mes messages des 2 et 12 juillet sont restés sans proposition de règlement.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vous mets en demeure de verser 1 500 euros par virement sur le compte déjà communiqué au plus tard le 31 juillet 2026.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8F0E6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54C24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Régler le solde avant le 31 juillet ou adresser immédiatement une proposition écrite et chiffrée.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754C24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reconnaissance de dette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relevé du versement partiel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copies des relances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754C24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Sonia Lambert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LET-10-01-2026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754C24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754C2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754C2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754C24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