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100"/>
        <w:gridCol w:w="5100"/>
      </w:tblGrid>
      <w:tr>
        <w:tc>
          <w:tcPr>
            <w:tcW w:type="dxa" w:w="3175"/>
            <w:shd w:val="clear" w:color="auto" w:fill="E11D48"/>
          </w:tcPr>
          <w:p>
            <w:pPr>
              <w:spacing w:before="200"/>
            </w:pPr>
            <w:r>
              <w:rPr>
                <w:b/>
                <w:i w:val="0"/>
                <w:color w:val="FFFFFF"/>
                <w:sz w:val="26"/>
              </w:rPr>
              <w:t>Techni-Froid</w:t>
            </w:r>
          </w:p>
          <w:p>
            <w:pPr>
              <w:spacing w:after="160" w:before="0"/>
              <w:jc w:val="left"/>
            </w:pPr>
            <w:r>
              <w:rPr>
                <w:b w:val="0"/>
                <w:i/>
                <w:color w:val="F3A9B9"/>
                <w:sz w:val="17"/>
              </w:rPr>
              <w:t>Solutions de réfrigération professionnelle</w:t>
            </w:r>
          </w:p>
          <w:p>
            <w:pPr>
              <w:spacing w:after="160" w:before="0"/>
              <w:jc w:val="left"/>
            </w:pPr>
            <w:r>
              <w:rPr>
                <w:b/>
                <w:i w:val="0"/>
                <w:color w:val="FFFFFF"/>
                <w:sz w:val="26"/>
              </w:rPr>
              <w:t>FICHE DE POSTE</w:t>
            </w:r>
          </w:p>
          <w:p>
            <w:pPr>
              <w:spacing w:after="40" w:before="0"/>
              <w:jc w:val="left"/>
            </w:pPr>
            <w:r>
              <w:rPr>
                <w:b w:val="0"/>
                <w:i w:val="0"/>
                <w:color w:val="F3A9B9"/>
                <w:sz w:val="16"/>
              </w:rPr>
              <w:t>Service</w:t>
            </w:r>
          </w:p>
          <w:p>
            <w:pPr>
              <w:spacing w:after="20" w:before="0"/>
              <w:jc w:val="left"/>
            </w:pPr>
            <w:r>
              <w:rPr>
                <w:b/>
                <w:i w:val="0"/>
                <w:color w:val="FFFFFF"/>
                <w:sz w:val="19"/>
              </w:rPr>
              <w:t>Direction commerciale</w:t>
            </w:r>
          </w:p>
          <w:p>
            <w:pPr>
              <w:spacing w:after="40" w:before="0"/>
              <w:jc w:val="left"/>
            </w:pPr>
            <w:r>
              <w:rPr>
                <w:b w:val="0"/>
                <w:i w:val="0"/>
                <w:color w:val="F3A9B9"/>
                <w:sz w:val="16"/>
              </w:rPr>
              <w:t>Rattachement</w:t>
            </w:r>
          </w:p>
          <w:p>
            <w:pPr>
              <w:spacing w:after="20" w:before="0"/>
              <w:jc w:val="left"/>
            </w:pPr>
            <w:r>
              <w:rPr>
                <w:b/>
                <w:i w:val="0"/>
                <w:color w:val="FFFFFF"/>
                <w:sz w:val="19"/>
              </w:rPr>
              <w:t>Direction générale</w:t>
            </w:r>
          </w:p>
          <w:p>
            <w:pPr>
              <w:spacing w:after="40" w:before="0"/>
              <w:jc w:val="left"/>
            </w:pPr>
            <w:r>
              <w:rPr>
                <w:b w:val="0"/>
                <w:i w:val="0"/>
                <w:color w:val="F3A9B9"/>
                <w:sz w:val="16"/>
              </w:rPr>
              <w:t>Type de contrat</w:t>
            </w:r>
          </w:p>
          <w:p>
            <w:pPr>
              <w:spacing w:after="20" w:before="0"/>
              <w:jc w:val="left"/>
            </w:pPr>
            <w:r>
              <w:rPr>
                <w:b/>
                <w:i w:val="0"/>
                <w:color w:val="FFFFFF"/>
                <w:sz w:val="19"/>
              </w:rPr>
              <w:t>CDI — Statut cadre</w:t>
            </w:r>
          </w:p>
          <w:p>
            <w:pPr>
              <w:spacing w:after="40" w:before="0"/>
              <w:jc w:val="left"/>
            </w:pPr>
            <w:r>
              <w:rPr>
                <w:b w:val="0"/>
                <w:i w:val="0"/>
                <w:color w:val="F3A9B9"/>
                <w:sz w:val="16"/>
              </w:rPr>
              <w:t>Localisation</w:t>
            </w:r>
          </w:p>
          <w:p>
            <w:pPr>
              <w:spacing w:after="20" w:before="0"/>
              <w:jc w:val="left"/>
            </w:pPr>
            <w:r>
              <w:rPr>
                <w:b/>
                <w:i w:val="0"/>
                <w:color w:val="FFFFFF"/>
                <w:sz w:val="19"/>
              </w:rPr>
              <w:t>Nantes (44) — déplacements</w:t>
            </w:r>
          </w:p>
          <w:p>
            <w:pPr>
              <w:spacing w:after="40" w:before="0"/>
              <w:jc w:val="left"/>
            </w:pPr>
            <w:r>
              <w:rPr>
                <w:b w:val="0"/>
                <w:i w:val="0"/>
                <w:color w:val="F3A9B9"/>
                <w:sz w:val="16"/>
              </w:rPr>
              <w:t>Encadrement</w:t>
            </w:r>
          </w:p>
          <w:p>
            <w:pPr>
              <w:spacing w:after="20" w:before="0"/>
              <w:jc w:val="left"/>
            </w:pPr>
            <w:r>
              <w:rPr>
                <w:b/>
                <w:i w:val="0"/>
                <w:color w:val="FFFFFF"/>
                <w:sz w:val="19"/>
              </w:rPr>
              <w:t>Équipe de 6 commerciaux</w:t>
            </w:r>
          </w:p>
          <w:p>
            <w:pPr>
              <w:spacing w:after="40" w:before="0"/>
              <w:jc w:val="left"/>
            </w:pPr>
            <w:r>
              <w:rPr>
                <w:b w:val="0"/>
                <w:i w:val="0"/>
                <w:color w:val="F3A9B9"/>
                <w:sz w:val="16"/>
              </w:rPr>
              <w:t>Mise à jour</w:t>
            </w:r>
          </w:p>
          <w:p>
            <w:pPr>
              <w:spacing w:after="20" w:before="0"/>
              <w:jc w:val="left"/>
            </w:pPr>
            <w:r>
              <w:rPr>
                <w:b/>
                <w:i w:val="0"/>
                <w:color w:val="FFFFFF"/>
                <w:sz w:val="19"/>
              </w:rPr>
              <w:t>Juillet 2026</w:t>
            </w:r>
          </w:p>
        </w:tc>
        <w:tc>
          <w:tcPr>
            <w:tcW w:type="dxa" w:w="6917"/>
          </w:tcPr>
          <w:p>
            <w:r>
              <w:rPr>
                <w:b/>
                <w:i w:val="0"/>
                <w:color w:val="6B7280"/>
                <w:sz w:val="17"/>
              </w:rPr>
              <w:t>INTITULÉ DU POSTE</w:t>
            </w:r>
          </w:p>
          <w:p>
            <w:pPr>
              <w:spacing w:after="120" w:before="0"/>
              <w:jc w:val="left"/>
            </w:pPr>
            <w:r>
              <w:rPr>
                <w:b/>
                <w:i w:val="0"/>
                <w:color w:val="E11D48"/>
                <w:sz w:val="34"/>
              </w:rPr>
              <w:t>Responsable commercial (chef des ventes)</w:t>
            </w:r>
          </w:p>
          <w:p>
            <w:pPr>
              <w:spacing w:after="60" w:before="200"/>
              <w:jc w:val="left"/>
            </w:pPr>
            <w:r>
              <w:rPr>
                <w:b/>
                <w:i w:val="0"/>
                <w:color w:val="E11D48"/>
                <w:sz w:val="22"/>
              </w:rPr>
              <w:t>MISSION PRINCIPALE</w:t>
            </w:r>
          </w:p>
          <w:tbl>
            <w:tblPr>
              <w:tblW w:type="auto" w:w="0"/>
              <w:tblLook w:firstColumn="1" w:firstRow="1" w:lastColumn="0" w:lastRow="0" w:noHBand="0" w:noVBand="1" w:val="04A0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6917"/>
            </w:tblGrid>
            <w:tr>
              <w:tc>
                <w:tcPr>
                  <w:tcW w:type="dxa" w:w="6917"/>
                  <w:tcBorders>
                    <w:bottom w:val="single" w:sz="8" w:space="0" w:color="E11D48"/>
                  </w:tcBorders>
                </w:tcPr>
                <w:p>
                  <w:r>
                    <w:rPr>
                      <w:b w:val="0"/>
                      <w:i w:val="0"/>
                      <w:sz w:val="2"/>
                    </w:rPr>
                  </w:r>
                </w:p>
              </w:tc>
            </w:tr>
          </w:tbl>
          <w:p/>
          <w:p>
            <w:pPr>
              <w:spacing w:after="20"/>
            </w:pPr>
          </w:p>
          <w:p>
            <w:pPr>
              <w:spacing w:after="60" w:before="0"/>
              <w:jc w:val="left"/>
            </w:pPr>
            <w:r>
              <w:rPr>
                <w:b w:val="0"/>
                <w:i w:val="0"/>
                <w:sz w:val="20"/>
              </w:rPr>
              <w:t>Définir et piloter la stratégie commerciale, animer et faire progresser l’équipe de vente, et garantir l’atteinte des objectifs de chiffre d’affaires et de marge.</w:t>
            </w:r>
          </w:p>
          <w:p>
            <w:pPr>
              <w:spacing w:after="60" w:before="200"/>
              <w:jc w:val="left"/>
            </w:pPr>
            <w:r>
              <w:rPr>
                <w:b/>
                <w:i w:val="0"/>
                <w:color w:val="E11D48"/>
                <w:sz w:val="22"/>
              </w:rPr>
              <w:t>ACTIVITÉS ET RESPONSABILITÉS</w:t>
            </w:r>
          </w:p>
          <w:tbl>
            <w:tblPr>
              <w:tblW w:type="auto" w:w="0"/>
              <w:tblLook w:firstColumn="1" w:firstRow="1" w:lastColumn="0" w:lastRow="0" w:noHBand="0" w:noVBand="1" w:val="04A0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6917"/>
            </w:tblGrid>
            <w:tr>
              <w:tc>
                <w:tcPr>
                  <w:tcW w:type="dxa" w:w="6917"/>
                  <w:tcBorders>
                    <w:bottom w:val="single" w:sz="8" w:space="0" w:color="E11D48"/>
                  </w:tcBorders>
                </w:tcPr>
                <w:p>
                  <w:r>
                    <w:rPr>
                      <w:b w:val="0"/>
                      <w:i w:val="0"/>
                      <w:sz w:val="2"/>
                    </w:rPr>
                  </w:r>
                </w:p>
              </w:tc>
            </w:tr>
          </w:tbl>
          <w:p/>
          <w:p>
            <w:pPr>
              <w:spacing w:after="20"/>
            </w:pPr>
          </w:p>
          <w:p>
            <w:pPr>
              <w:pStyle w:val="ListBullet"/>
              <w:spacing w:after="40"/>
            </w:pPr>
            <w:r>
              <w:rPr>
                <w:b w:val="0"/>
                <w:i w:val="0"/>
                <w:sz w:val="20"/>
              </w:rPr>
              <w:t>Fixer les objectifs, construire les plans d’action et les secteurs</w:t>
            </w:r>
          </w:p>
          <w:p>
            <w:pPr>
              <w:pStyle w:val="ListBullet"/>
              <w:spacing w:after="40"/>
            </w:pPr>
            <w:r>
              <w:rPr>
                <w:b w:val="0"/>
                <w:i w:val="0"/>
                <w:sz w:val="20"/>
              </w:rPr>
              <w:t>Manager, coacher et évaluer une équipe de 6 commerciaux</w:t>
            </w:r>
          </w:p>
          <w:p>
            <w:pPr>
              <w:pStyle w:val="ListBullet"/>
              <w:spacing w:after="40"/>
            </w:pPr>
            <w:r>
              <w:rPr>
                <w:b w:val="0"/>
                <w:i w:val="0"/>
                <w:sz w:val="20"/>
              </w:rPr>
              <w:t>Suivre les indicateurs de performance et le pipeline (CRM)</w:t>
            </w:r>
          </w:p>
          <w:p>
            <w:pPr>
              <w:pStyle w:val="ListBullet"/>
              <w:spacing w:after="40"/>
            </w:pPr>
            <w:r>
              <w:rPr>
                <w:b w:val="0"/>
                <w:i w:val="0"/>
                <w:sz w:val="20"/>
              </w:rPr>
              <w:t>Négocier les affaires stratégiques et les grands comptes</w:t>
            </w:r>
          </w:p>
          <w:p>
            <w:pPr>
              <w:pStyle w:val="ListBullet"/>
              <w:spacing w:after="40"/>
            </w:pPr>
            <w:r>
              <w:rPr>
                <w:b w:val="0"/>
                <w:i w:val="0"/>
                <w:sz w:val="20"/>
              </w:rPr>
              <w:t>Recruter et intégrer les nouveaux commerciaux</w:t>
            </w:r>
          </w:p>
          <w:p>
            <w:pPr>
              <w:pStyle w:val="ListBullet"/>
              <w:spacing w:after="40"/>
            </w:pPr>
            <w:r>
              <w:rPr>
                <w:b w:val="0"/>
                <w:i w:val="0"/>
                <w:sz w:val="20"/>
              </w:rPr>
              <w:t>Analyser le marché et la concurrence, proposer de nouvelles offres</w:t>
            </w:r>
          </w:p>
          <w:p>
            <w:pPr>
              <w:spacing w:after="60" w:before="200"/>
              <w:jc w:val="left"/>
            </w:pPr>
            <w:r>
              <w:rPr>
                <w:b/>
                <w:i w:val="0"/>
                <w:color w:val="E11D48"/>
                <w:sz w:val="22"/>
              </w:rPr>
              <w:t>COMPÉTENCES REQUISES</w:t>
            </w:r>
          </w:p>
          <w:tbl>
            <w:tblPr>
              <w:tblW w:type="auto" w:w="0"/>
              <w:tblLook w:firstColumn="1" w:firstRow="1" w:lastColumn="0" w:lastRow="0" w:noHBand="0" w:noVBand="1" w:val="04A0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6917"/>
            </w:tblGrid>
            <w:tr>
              <w:tc>
                <w:tcPr>
                  <w:tcW w:type="dxa" w:w="6917"/>
                  <w:tcBorders>
                    <w:bottom w:val="single" w:sz="8" w:space="0" w:color="E11D48"/>
                  </w:tcBorders>
                </w:tcPr>
                <w:p>
                  <w:r>
                    <w:rPr>
                      <w:b w:val="0"/>
                      <w:i w:val="0"/>
                      <w:sz w:val="2"/>
                    </w:rPr>
                  </w:r>
                </w:p>
              </w:tc>
            </w:tr>
          </w:tbl>
          <w:p/>
          <w:p>
            <w:pPr>
              <w:spacing w:after="20"/>
            </w:pPr>
          </w:p>
          <w:p>
            <w:pPr>
              <w:spacing w:after="20" w:before="40"/>
              <w:jc w:val="left"/>
            </w:pPr>
            <w:r>
              <w:rPr>
                <w:b/>
                <w:i w:val="0"/>
                <w:color w:val="E11D48"/>
                <w:sz w:val="20"/>
              </w:rPr>
              <w:t>Savoir-faire</w:t>
            </w:r>
          </w:p>
          <w:p>
            <w:pPr>
              <w:pStyle w:val="ListBullet"/>
              <w:spacing w:after="40"/>
            </w:pPr>
            <w:r>
              <w:rPr>
                <w:b w:val="0"/>
                <w:i w:val="0"/>
                <w:sz w:val="20"/>
              </w:rPr>
              <w:t>Pilotage de la performance commerciale</w:t>
            </w:r>
          </w:p>
          <w:p>
            <w:pPr>
              <w:pStyle w:val="ListBullet"/>
              <w:spacing w:after="40"/>
            </w:pPr>
            <w:r>
              <w:rPr>
                <w:b w:val="0"/>
                <w:i w:val="0"/>
                <w:sz w:val="20"/>
              </w:rPr>
              <w:t>Management et animation d’équipe</w:t>
            </w:r>
          </w:p>
          <w:p>
            <w:pPr>
              <w:pStyle w:val="ListBullet"/>
              <w:spacing w:after="40"/>
            </w:pPr>
            <w:r>
              <w:rPr>
                <w:b w:val="0"/>
                <w:i w:val="0"/>
                <w:sz w:val="20"/>
              </w:rPr>
              <w:t>Négociation grands comptes</w:t>
            </w:r>
          </w:p>
          <w:p>
            <w:pPr>
              <w:spacing w:after="20" w:before="40"/>
              <w:jc w:val="left"/>
            </w:pPr>
            <w:r>
              <w:rPr>
                <w:b/>
                <w:i w:val="0"/>
                <w:color w:val="E11D48"/>
                <w:sz w:val="20"/>
              </w:rPr>
              <w:t>Savoir-être</w:t>
            </w:r>
          </w:p>
          <w:p>
            <w:pPr>
              <w:pStyle w:val="ListBullet"/>
              <w:spacing w:after="40"/>
            </w:pPr>
            <w:r>
              <w:rPr>
                <w:b w:val="0"/>
                <w:i w:val="0"/>
                <w:sz w:val="20"/>
              </w:rPr>
              <w:t>Leadership et exemplarité</w:t>
            </w:r>
          </w:p>
          <w:p>
            <w:pPr>
              <w:pStyle w:val="ListBullet"/>
              <w:spacing w:after="40"/>
            </w:pPr>
            <w:r>
              <w:rPr>
                <w:b w:val="0"/>
                <w:i w:val="0"/>
                <w:sz w:val="20"/>
              </w:rPr>
              <w:t>Vision stratégique</w:t>
            </w:r>
          </w:p>
          <w:p>
            <w:pPr>
              <w:pStyle w:val="ListBullet"/>
              <w:spacing w:after="40"/>
            </w:pPr>
            <w:r>
              <w:rPr>
                <w:b w:val="0"/>
                <w:i w:val="0"/>
                <w:sz w:val="20"/>
              </w:rPr>
              <w:t>Orientation résultats</w:t>
            </w:r>
          </w:p>
          <w:p>
            <w:pPr>
              <w:spacing w:after="60" w:before="200"/>
              <w:jc w:val="left"/>
            </w:pPr>
            <w:r>
              <w:rPr>
                <w:b/>
                <w:i w:val="0"/>
                <w:color w:val="E11D48"/>
                <w:sz w:val="22"/>
              </w:rPr>
              <w:t>PROFIL RECHERCHÉ</w:t>
            </w:r>
          </w:p>
          <w:tbl>
            <w:tblPr>
              <w:tblW w:type="auto" w:w="0"/>
              <w:tblLook w:firstColumn="1" w:firstRow="1" w:lastColumn="0" w:lastRow="0" w:noHBand="0" w:noVBand="1" w:val="04A0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6917"/>
            </w:tblGrid>
            <w:tr>
              <w:tc>
                <w:tcPr>
                  <w:tcW w:type="dxa" w:w="6917"/>
                  <w:tcBorders>
                    <w:bottom w:val="single" w:sz="8" w:space="0" w:color="E11D48"/>
                  </w:tcBorders>
                </w:tcPr>
                <w:p>
                  <w:r>
                    <w:rPr>
                      <w:b w:val="0"/>
                      <w:i w:val="0"/>
                      <w:sz w:val="2"/>
                    </w:rPr>
                  </w:r>
                </w:p>
              </w:tc>
            </w:tr>
          </w:tbl>
          <w:p/>
          <w:p>
            <w:pPr>
              <w:spacing w:after="20"/>
            </w:pPr>
          </w:p>
          <w:p>
            <w:pPr>
              <w:pStyle w:val="ListBullet"/>
              <w:spacing w:after="40"/>
            </w:pPr>
            <w:r>
              <w:rPr>
                <w:b w:val="0"/>
                <w:i w:val="0"/>
                <w:sz w:val="20"/>
              </w:rPr>
              <w:t>Formation Bac +5 (école de commerce)</w:t>
            </w:r>
          </w:p>
          <w:p>
            <w:pPr>
              <w:pStyle w:val="ListBullet"/>
              <w:spacing w:after="40"/>
            </w:pPr>
            <w:r>
              <w:rPr>
                <w:b w:val="0"/>
                <w:i w:val="0"/>
                <w:sz w:val="20"/>
              </w:rPr>
              <w:t>Expérience de 5 ans minimum en vente B2B, dont 2 ans en management</w:t>
            </w:r>
          </w:p>
          <w:p>
            <w:pPr>
              <w:pStyle w:val="ListBullet"/>
              <w:spacing w:after="40"/>
            </w:pPr>
            <w:r>
              <w:rPr>
                <w:b w:val="0"/>
                <w:i w:val="0"/>
                <w:sz w:val="20"/>
              </w:rPr>
              <w:t>Secteur technique apprécié</w:t>
            </w:r>
          </w:p>
          <w:p>
            <w:pPr>
              <w:spacing w:after="60" w:before="200"/>
              <w:jc w:val="left"/>
            </w:pPr>
            <w:r>
              <w:rPr>
                <w:b/>
                <w:i w:val="0"/>
                <w:color w:val="E11D48"/>
                <w:sz w:val="22"/>
              </w:rPr>
              <w:t>CONDITIONS</w:t>
            </w:r>
          </w:p>
          <w:tbl>
            <w:tblPr>
              <w:tblW w:type="auto" w:w="0"/>
              <w:tblLook w:firstColumn="1" w:firstRow="1" w:lastColumn="0" w:lastRow="0" w:noHBand="0" w:noVBand="1" w:val="04A0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6917"/>
            </w:tblGrid>
            <w:tr>
              <w:tc>
                <w:tcPr>
                  <w:tcW w:type="dxa" w:w="6917"/>
                  <w:tcBorders>
                    <w:bottom w:val="single" w:sz="8" w:space="0" w:color="E11D48"/>
                  </w:tcBorders>
                </w:tcPr>
                <w:p>
                  <w:r>
                    <w:rPr>
                      <w:b w:val="0"/>
                      <w:i w:val="0"/>
                      <w:sz w:val="2"/>
                    </w:rPr>
                  </w:r>
                </w:p>
              </w:tc>
            </w:tr>
          </w:tbl>
          <w:p/>
          <w:p>
            <w:pPr>
              <w:spacing w:after="20"/>
            </w:pPr>
          </w:p>
          <w:p>
            <w:pPr>
              <w:pStyle w:val="ListBullet"/>
              <w:spacing w:after="40"/>
            </w:pPr>
            <w:r>
              <w:rPr>
                <w:b w:val="0"/>
                <w:i w:val="0"/>
                <w:sz w:val="20"/>
              </w:rPr>
              <w:t>CDI statut cadre — véhicule de fonction</w:t>
            </w:r>
          </w:p>
          <w:p>
            <w:pPr>
              <w:pStyle w:val="ListBullet"/>
              <w:spacing w:after="40"/>
            </w:pPr>
            <w:r>
              <w:rPr>
                <w:b w:val="0"/>
                <w:i w:val="0"/>
                <w:sz w:val="20"/>
              </w:rPr>
              <w:t>Rémunération fixe + variable déplafonné</w:t>
            </w:r>
          </w:p>
          <w:p>
            <w:pPr>
              <w:pStyle w:val="ListBullet"/>
              <w:spacing w:after="40"/>
            </w:pPr>
            <w:r>
              <w:rPr>
                <w:b w:val="0"/>
                <w:i w:val="0"/>
                <w:sz w:val="20"/>
              </w:rPr>
              <w:t>Déplacements réguliers</w:t>
            </w:r>
          </w:p>
        </w:tc>
      </w:tr>
    </w:tbl>
    <w:sectPr w:rsidR="00FC693F" w:rsidRPr="0006063C" w:rsidSect="00034616">
      <w:pgSz w:w="12240" w:h="15840"/>
      <w:pgMar w:top="907" w:right="1020" w:bottom="794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222A35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