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4" w:color="0D9488"/>
              <w:left w:val="single" w:sz="12" w:space="4" w:color="0D9488"/>
              <w:bottom w:val="single" w:sz="12" w:space="4" w:color="0D9488"/>
              <w:right w:val="single" w:sz="12" w:space="4" w:color="0D9488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shd w:val="clear" w:color="auto" w:fill="0D9488"/>
                </w:tcPr>
                <w:p>
                  <w:pPr>
                    <w:spacing w:before="80" w:after="80"/>
                  </w:pPr>
                  <w:r>
                    <w:rPr>
                      <w:b/>
                      <w:i w:val="0"/>
                      <w:color w:val="FFFFFF"/>
                      <w:sz w:val="36"/>
                    </w:rPr>
                    <w:t xml:space="preserve">  DEVIS</w:t>
                  </w:r>
                </w:p>
              </w:tc>
            </w:tr>
          </w:tbl>
          <w:p/>
          <w:p>
            <w:pPr>
              <w:spacing w:after="8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00"/>
              <w:gridCol w:w="5100"/>
            </w:tblGrid>
            <w:tr>
              <w:tc>
                <w:tcPr>
                  <w:tcW w:type="dxa" w:w="5386"/>
                </w:tcPr>
                <w:p>
                  <w:r>
                    <w:rPr>
                      <w:b/>
                      <w:i w:val="0"/>
                      <w:color w:val="1E2935"/>
                      <w:sz w:val="26"/>
                    </w:rPr>
                    <w:t>Novaconseil</w:t>
                  </w:r>
                </w:p>
                <w:p>
                  <w:pPr>
                    <w:spacing w:after="100" w:before="0"/>
                    <w:jc w:val="left"/>
                  </w:pPr>
                  <w:r>
                    <w:rPr>
                      <w:b w:val="0"/>
                      <w:i/>
                      <w:color w:val="6B7280"/>
                      <w:sz w:val="20"/>
                    </w:rPr>
                    <w:t>Conseil &amp; formation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30 avenue de la République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75011 Paris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SARL · SIRET 799 452 310 00024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RCS Paris · TVA FR 42 799452310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contact@novaconseil.fr</w:t>
                  </w:r>
                </w:p>
              </w:tc>
              <w:tc>
                <w:tcPr>
                  <w:tcW w:type="dxa" w:w="3855"/>
                </w:tcPr>
                <w:p/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1927"/>
                    <w:gridCol w:w="1927"/>
                  </w:tblGrid>
                  <w:tr>
                    <w:tc>
                      <w:tcPr>
                        <w:tcW w:type="dxa" w:w="1928"/>
                      </w:tcPr>
                      <w:p>
                        <w:pPr>
                          <w:jc w:val="right"/>
                        </w:pPr>
                        <w:r>
                          <w:rPr>
                            <w:b w:val="0"/>
                            <w:i w:val="0"/>
                            <w:color w:val="6B7280"/>
                            <w:sz w:val="17"/>
                          </w:rPr>
                          <w:t>N° de devis</w:t>
                        </w:r>
                      </w:p>
                    </w:tc>
                    <w:tc>
                      <w:tcPr>
                        <w:tcW w:type="dxa" w:w="2268"/>
                      </w:tcPr>
                      <w:p>
                        <w:pPr>
                          <w:jc w:val="right"/>
                        </w:pPr>
                        <w:r>
                          <w:rPr>
                            <w:b/>
                            <w:i w:val="0"/>
                            <w:color w:val="0D9488"/>
                            <w:sz w:val="19"/>
                          </w:rPr>
                          <w:t>D-2026-093</w:t>
                        </w:r>
                      </w:p>
                    </w:tc>
                  </w:tr>
                  <w:tr>
                    <w:tc>
                      <w:tcPr>
                        <w:tcW w:type="dxa" w:w="1928"/>
                      </w:tcPr>
                      <w:p>
                        <w:pPr>
                          <w:jc w:val="right"/>
                        </w:pPr>
                        <w:r>
                          <w:rPr>
                            <w:b w:val="0"/>
                            <w:i w:val="0"/>
                            <w:color w:val="6B7280"/>
                            <w:sz w:val="17"/>
                          </w:rPr>
                          <w:t>Date</w:t>
                        </w:r>
                      </w:p>
                    </w:tc>
                    <w:tc>
                      <w:tcPr>
                        <w:tcW w:type="dxa" w:w="2268"/>
                      </w:tcPr>
                      <w:p>
                        <w:pPr>
                          <w:jc w:val="right"/>
                        </w:pPr>
                        <w:r>
                          <w:rPr>
                            <w:b/>
                            <w:i w:val="0"/>
                            <w:color w:val="0D9488"/>
                            <w:sz w:val="19"/>
                          </w:rPr>
                          <w:t>07/07/2026</w:t>
                        </w:r>
                      </w:p>
                    </w:tc>
                  </w:tr>
                  <w:tr>
                    <w:tc>
                      <w:tcPr>
                        <w:tcW w:type="dxa" w:w="1928"/>
                      </w:tcPr>
                      <w:p>
                        <w:pPr>
                          <w:jc w:val="right"/>
                        </w:pPr>
                        <w:r>
                          <w:rPr>
                            <w:b w:val="0"/>
                            <w:i w:val="0"/>
                            <w:color w:val="6B7280"/>
                            <w:sz w:val="17"/>
                          </w:rPr>
                          <w:t>Validité</w:t>
                        </w:r>
                      </w:p>
                    </w:tc>
                    <w:tc>
                      <w:tcPr>
                        <w:tcW w:type="dxa" w:w="2268"/>
                      </w:tcPr>
                      <w:p>
                        <w:pPr>
                          <w:jc w:val="right"/>
                        </w:pPr>
                        <w:r>
                          <w:rPr>
                            <w:b/>
                            <w:i w:val="0"/>
                            <w:color w:val="0D9488"/>
                            <w:sz w:val="19"/>
                          </w:rPr>
                          <w:t>30 jours</w:t>
                        </w:r>
                      </w:p>
                    </w:tc>
                  </w:tr>
                </w:tbl>
                <w:p/>
              </w:tc>
            </w:tr>
          </w:tbl>
          <w:p/>
          <w:p>
            <w:pPr>
              <w:spacing w:after="40"/>
            </w:pPr>
          </w:p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Groupe Estève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12 rue du Commerce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92300 Levallois-Perret</w:t>
            </w:r>
          </w:p>
          <w:p>
            <w:pPr>
              <w:spacing w:after="40" w:before="0"/>
              <w:jc w:val="left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040"/>
              <w:gridCol w:w="2040"/>
              <w:gridCol w:w="2040"/>
              <w:gridCol w:w="2040"/>
              <w:gridCol w:w="2040"/>
            </w:tblGrid>
            <w:tr>
              <w:tc>
                <w:tcPr>
                  <w:tcW w:type="dxa" w:w="4737"/>
                  <w:shd w:val="clear" w:color="auto" w:fill="0D9488"/>
                </w:tcPr>
                <w:p>
                  <w:pPr>
                    <w:spacing w:before="60" w:after="60"/>
                    <w:jc w:val="left"/>
                  </w:pPr>
                  <w:r>
                    <w:rPr>
                      <w:b/>
                      <w:i w:val="0"/>
                      <w:color w:val="FFFFFF"/>
                      <w:sz w:val="18"/>
                    </w:rPr>
                    <w:t>Désignation</w:t>
                  </w:r>
                </w:p>
              </w:tc>
              <w:tc>
                <w:tcPr>
                  <w:tcW w:type="dxa" w:w="806"/>
                  <w:shd w:val="clear" w:color="auto" w:fill="0D9488"/>
                </w:tcPr>
                <w:p>
                  <w:pPr>
                    <w:spacing w:before="60" w:after="60"/>
                    <w:jc w:val="center"/>
                  </w:pPr>
                  <w:r>
                    <w:rPr>
                      <w:b/>
                      <w:i w:val="0"/>
                      <w:color w:val="FFFFFF"/>
                      <w:sz w:val="18"/>
                    </w:rPr>
                    <w:t>Qté</w:t>
                  </w:r>
                </w:p>
              </w:tc>
              <w:tc>
                <w:tcPr>
                  <w:tcW w:type="dxa" w:w="1310"/>
                  <w:shd w:val="clear" w:color="auto" w:fill="0D9488"/>
                </w:tcPr>
                <w:p>
                  <w:pPr>
                    <w:spacing w:before="60" w:after="60"/>
                    <w:jc w:val="right"/>
                  </w:pPr>
                  <w:r>
                    <w:rPr>
                      <w:b/>
                      <w:i w:val="0"/>
                      <w:color w:val="FFFFFF"/>
                      <w:sz w:val="18"/>
                    </w:rPr>
                    <w:t>P.U. HT</w:t>
                  </w:r>
                </w:p>
              </w:tc>
              <w:tc>
                <w:tcPr>
                  <w:tcW w:type="dxa" w:w="907"/>
                  <w:shd w:val="clear" w:color="auto" w:fill="0D9488"/>
                </w:tcPr>
                <w:p>
                  <w:pPr>
                    <w:spacing w:before="60" w:after="60"/>
                    <w:jc w:val="center"/>
                  </w:pPr>
                  <w:r>
                    <w:rPr>
                      <w:b/>
                      <w:i w:val="0"/>
                      <w:color w:val="FFFFFF"/>
                      <w:sz w:val="18"/>
                    </w:rPr>
                    <w:t>TVA</w:t>
                  </w:r>
                </w:p>
              </w:tc>
              <w:tc>
                <w:tcPr>
                  <w:tcW w:type="dxa" w:w="1310"/>
                  <w:shd w:val="clear" w:color="auto" w:fill="0D9488"/>
                </w:tcPr>
                <w:p>
                  <w:pPr>
                    <w:spacing w:before="60" w:after="60"/>
                    <w:jc w:val="right"/>
                  </w:pPr>
                  <w:r>
                    <w:rPr>
                      <w:b/>
                      <w:i w:val="0"/>
                      <w:color w:val="FFFFFF"/>
                      <w:sz w:val="18"/>
                    </w:rPr>
                    <w:t>Total HT</w:t>
                  </w:r>
                </w:p>
              </w:tc>
            </w:tr>
            <w:tr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lef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Lot 1 — Diagnostic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center"/>
                  </w:pPr>
                  <w:r>
                    <w:rPr>
                      <w:b w:val="0"/>
                      <w:i w:val="0"/>
                      <w:sz w:val="19"/>
                    </w:rPr>
                    <w:t>1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1 500,00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center"/>
                  </w:pPr>
                  <w:r>
                    <w:rPr>
                      <w:b w:val="0"/>
                      <w:i w:val="0"/>
                      <w:sz w:val="19"/>
                    </w:rPr>
                    <w:t>20 %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1 500,00</w:t>
                  </w:r>
                </w:p>
              </w:tc>
            </w:tr>
            <w:tr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lef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Lot 2 — Déploiement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center"/>
                  </w:pPr>
                  <w:r>
                    <w:rPr>
                      <w:b w:val="0"/>
                      <w:i w:val="0"/>
                      <w:sz w:val="19"/>
                    </w:rPr>
                    <w:t>1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3 200,00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center"/>
                  </w:pPr>
                  <w:r>
                    <w:rPr>
                      <w:b w:val="0"/>
                      <w:i w:val="0"/>
                      <w:sz w:val="19"/>
                    </w:rPr>
                    <w:t>20 %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3 200,00</w:t>
                  </w:r>
                </w:p>
              </w:tc>
            </w:tr>
            <w:tr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lef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Lot 3 — Formation &amp; suivi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center"/>
                  </w:pPr>
                  <w:r>
                    <w:rPr>
                      <w:b w:val="0"/>
                      <w:i w:val="0"/>
                      <w:sz w:val="19"/>
                    </w:rPr>
                    <w:t>1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1 300,00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center"/>
                  </w:pPr>
                  <w:r>
                    <w:rPr>
                      <w:b w:val="0"/>
                      <w:i w:val="0"/>
                      <w:sz w:val="19"/>
                    </w:rPr>
                    <w:t>20 %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1 300,00</w:t>
                  </w:r>
                </w:p>
              </w:tc>
            </w:tr>
          </w:tbl>
          <w:p/>
          <w:p>
            <w:pPr>
              <w:spacing w:after="40" w:before="0"/>
              <w:jc w:val="left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jc w:val="right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00"/>
              <w:gridCol w:w="5100"/>
            </w:tblGrid>
            <w:tr>
              <w:tc>
                <w:tcPr>
                  <w:tcW w:type="dxa" w:w="2721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9"/>
                    </w:rPr>
                    <w:t>Total HT</w:t>
                  </w:r>
                </w:p>
              </w:tc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6 000,00 €</w:t>
                  </w:r>
                </w:p>
              </w:tc>
            </w:tr>
            <w:tr>
              <w:tc>
                <w:tcPr>
                  <w:tcW w:type="dxa" w:w="2721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9"/>
                    </w:rPr>
                    <w:t>TVA (20 %)</w:t>
                  </w:r>
                </w:p>
              </w:tc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1 200,00 €</w:t>
                  </w:r>
                </w:p>
              </w:tc>
            </w:tr>
            <w:tr>
              <w:tc>
                <w:tcPr>
                  <w:tcW w:type="dxa" w:w="2721"/>
                  <w:tcBorders>
                    <w:top w:val="single" w:sz="8" w:space="0" w:color="0D9488"/>
                  </w:tcBorders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22"/>
                    </w:rPr>
                    <w:t>Total TTC</w:t>
                  </w:r>
                </w:p>
              </w:tc>
              <w:tc>
                <w:tcPr>
                  <w:tcW w:type="dxa" w:w="1928"/>
                  <w:tcBorders>
                    <w:top w:val="single" w:sz="8" w:space="0" w:color="0D9488"/>
                  </w:tcBorders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26"/>
                    </w:rPr>
                    <w:t>7 200,00 €</w:t>
                  </w:r>
                </w:p>
              </w:tc>
            </w:tr>
          </w:tbl>
          <w:p/>
        </w:tc>
      </w:tr>
    </w:tbl>
    <w:p>
      <w:pPr>
        <w:spacing w:after="12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EF2F7"/>
          </w:tcPr>
          <w:p>
            <w:pPr>
              <w:spacing w:before="120"/>
            </w:pPr>
            <w:r>
              <w:rPr>
                <w:b/>
                <w:i w:val="0"/>
                <w:color w:val="0D9488"/>
                <w:sz w:val="20"/>
              </w:rPr>
              <w:t>Conditions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Chaque lot peut être commandé indépendamment.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Bon pour accord par lot ou pour l’ensemble.</w:t>
            </w:r>
          </w:p>
          <w:p>
            <w:pPr>
              <w:spacing w:after="80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[30 jours / 3 mois]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