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>
            <w:r>
              <w:rPr>
                <w:b/>
                <w:i w:val="0"/>
                <w:color w:val="1E2935"/>
                <w:sz w:val="34"/>
              </w:rPr>
              <w:t>Novaconseil</w:t>
            </w:r>
          </w:p>
          <w:p>
            <w:pPr>
              <w:spacing w:after="100" w:before="0"/>
              <w:jc w:val="left"/>
            </w:pPr>
            <w:r>
              <w:rPr>
                <w:b w:val="0"/>
                <w:i/>
                <w:color w:val="6B7280"/>
                <w:sz w:val="20"/>
              </w:rPr>
              <w:t>Conseil &amp; formation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30 avenue de la République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75011 Paris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SARL · SIRET 799 452 310 00024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RCS Paris · TVA FR 42 799452310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7"/>
              </w:rPr>
              <w:t>contact@novaconseil.fr</w:t>
            </w:r>
          </w:p>
        </w:tc>
        <w:tc>
          <w:tcPr>
            <w:tcW w:type="dxa" w:w="4252"/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50"/>
              </w:rPr>
              <w:t>DEVIS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126"/>
              <w:gridCol w:w="2126"/>
            </w:tblGrid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N° de devis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D-2026-091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Date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07/07/2026</w:t>
                  </w:r>
                </w:p>
              </w:tc>
            </w:tr>
            <w:tr>
              <w:tc>
                <w:tcPr>
                  <w:tcW w:type="dxa" w:w="1928"/>
                </w:tcPr>
                <w:p>
                  <w:pPr>
                    <w:jc w:val="right"/>
                  </w:pPr>
                  <w:r>
                    <w:rPr>
                      <w:b w:val="0"/>
                      <w:i w:val="0"/>
                      <w:color w:val="6B7280"/>
                      <w:sz w:val="17"/>
                    </w:rPr>
                    <w:t>Validité</w:t>
                  </w:r>
                </w:p>
              </w:tc>
              <w:tc>
                <w:tcPr>
                  <w:tcW w:type="dxa" w:w="2268"/>
                </w:tcPr>
                <w:p>
                  <w:pPr>
                    <w:jc w:val="right"/>
                  </w:pPr>
                  <w:r>
                    <w:rPr>
                      <w:b/>
                      <w:i w:val="0"/>
                      <w:color w:val="0D9488"/>
                      <w:sz w:val="19"/>
                    </w:rPr>
                    <w:t>30 jours</w:t>
                  </w:r>
                </w:p>
              </w:tc>
            </w:tr>
          </w:tbl>
          <w:p/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953"/>
          </w:tcPr>
          <w:p/>
          <w:p>
            <w:pPr>
              <w:spacing w:after="40" w:before="0"/>
              <w:jc w:val="left"/>
            </w:pPr>
            <w:r>
              <w:rPr>
                <w:b/>
                <w:i w:val="0"/>
                <w:color w:val="6B7280"/>
                <w:sz w:val="17"/>
              </w:rPr>
              <w:t>ÉTABLI POUR</w:t>
            </w:r>
          </w:p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4"/>
              </w:rPr>
              <w:t>Groupe Estève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12 rue du Commerce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92300 Levallois-Perret</w:t>
            </w:r>
          </w:p>
        </w:tc>
        <w:tc>
          <w:tcPr>
            <w:tcW w:type="dxa" w:w="4252"/>
            <w:shd w:val="clear" w:color="auto" w:fill="0D9488"/>
          </w:tcPr>
          <w:p>
            <w:pPr>
              <w:spacing w:before="120"/>
              <w:jc w:val="center"/>
            </w:pPr>
            <w:r>
              <w:rPr>
                <w:b/>
                <w:i w:val="0"/>
                <w:color w:val="FFFFFF"/>
                <w:sz w:val="18"/>
              </w:rPr>
              <w:t>MONTANT ESTIMÉ</w:t>
            </w:r>
          </w:p>
          <w:p>
            <w:pPr>
              <w:spacing w:after="40" w:before="0"/>
              <w:jc w:val="center"/>
            </w:pPr>
            <w:r>
              <w:rPr>
                <w:b/>
                <w:i w:val="0"/>
                <w:color w:val="FFFFFF"/>
                <w:sz w:val="40"/>
              </w:rPr>
              <w:t>4 200,00 €</w:t>
            </w:r>
          </w:p>
          <w:p>
            <w:pPr>
              <w:spacing w:after="120" w:before="0"/>
              <w:jc w:val="center"/>
            </w:pPr>
            <w:r>
              <w:rPr>
                <w:b w:val="0"/>
                <w:i w:val="0"/>
                <w:color w:val="A3D6D1"/>
                <w:sz w:val="17"/>
              </w:rPr>
              <w:t>forfait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5329"/>
            <w:shd w:val="clear" w:color="auto" w:fill="0D9488"/>
          </w:tcPr>
          <w:p>
            <w:pPr>
              <w:spacing w:before="60" w:after="60"/>
              <w:jc w:val="left"/>
            </w:pPr>
            <w:r>
              <w:rPr>
                <w:b/>
                <w:i w:val="0"/>
                <w:color w:val="FFFFFF"/>
                <w:sz w:val="18"/>
              </w:rPr>
              <w:t>Désignation</w:t>
            </w:r>
          </w:p>
        </w:tc>
        <w:tc>
          <w:tcPr>
            <w:tcW w:type="dxa" w:w="907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Qté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P.U. HT</w:t>
            </w:r>
          </w:p>
        </w:tc>
        <w:tc>
          <w:tcPr>
            <w:tcW w:type="dxa" w:w="1020"/>
            <w:shd w:val="clear" w:color="auto" w:fill="0D9488"/>
          </w:tcPr>
          <w:p>
            <w:pPr>
              <w:spacing w:before="60" w:after="60"/>
              <w:jc w:val="center"/>
            </w:pPr>
            <w:r>
              <w:rPr>
                <w:b/>
                <w:i w:val="0"/>
                <w:color w:val="FFFFFF"/>
                <w:sz w:val="18"/>
              </w:rPr>
              <w:t>TVA</w:t>
            </w:r>
          </w:p>
        </w:tc>
        <w:tc>
          <w:tcPr>
            <w:tcW w:type="dxa" w:w="1474"/>
            <w:shd w:val="clear" w:color="auto" w:fill="0D9488"/>
          </w:tcPr>
          <w:p>
            <w:pPr>
              <w:spacing w:before="60" w:after="60"/>
              <w:jc w:val="right"/>
            </w:pPr>
            <w:r>
              <w:rPr>
                <w:b/>
                <w:i w:val="0"/>
                <w:color w:val="FFFFFF"/>
                <w:sz w:val="18"/>
              </w:rPr>
              <w:t>Total HT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Audit organisationnel (2 jours sur site + rapport)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1 800,00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1 800,00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Ateliers de cadrage (2 × ½ journée)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600,00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1 200,00</w:t>
            </w:r>
          </w:p>
        </w:tc>
      </w:tr>
      <w:tr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left"/>
            </w:pPr>
            <w:r>
              <w:rPr>
                <w:b/>
                <w:i w:val="0"/>
                <w:color w:val="0D9488"/>
                <w:sz w:val="19"/>
              </w:rPr>
              <w:t>Plan d’action et restitution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1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500,00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center"/>
            </w:pPr>
            <w:r>
              <w:rPr>
                <w:b w:val="0"/>
                <w:i w:val="0"/>
                <w:sz w:val="19"/>
              </w:rPr>
              <w:t>20 %</w:t>
            </w:r>
          </w:p>
        </w:tc>
        <w:tc>
          <w:tcPr>
            <w:tcW w:type="dxa" w:w="2040"/>
            <w:tcBorders>
              <w:bottom w:val="single" w:sz="6" w:space="0" w:color="D9E1EC"/>
            </w:tcBorders>
          </w:tcPr>
          <w:p>
            <w:pPr>
              <w:spacing w:before="80" w:after="80"/>
              <w:jc w:val="right"/>
            </w:pPr>
            <w:r>
              <w:rPr>
                <w:b w:val="0"/>
                <w:i w:val="0"/>
                <w:sz w:val="19"/>
              </w:rPr>
              <w:t>500,00</w:t>
            </w:r>
          </w:p>
        </w:tc>
      </w:tr>
    </w:tbl>
    <w:p>
      <w:pPr>
        <w:spacing w:after="40"/>
      </w:pPr>
    </w:p>
    <w:tbl>
      <w:tblPr>
        <w:tblW w:type="auto" w:w="0"/>
        <w:tblLayout w:type="fixed"/>
        <w:tblLook w:firstColumn="1" w:firstRow="1" w:lastColumn="0" w:lastRow="0" w:noHBand="0" w:noVBand="1" w:val="04A0"/>
        <w:jc w:val="right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Total HT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3 500,00 €</w:t>
            </w:r>
          </w:p>
        </w:tc>
      </w:tr>
      <w:tr>
        <w:tc>
          <w:tcPr>
            <w:tcW w:type="dxa" w:w="2721"/>
          </w:tcPr>
          <w:p>
            <w:pPr>
              <w:jc w:val="right"/>
            </w:pPr>
            <w:r>
              <w:rPr>
                <w:b w:val="0"/>
                <w:i w:val="0"/>
                <w:color w:val="6B7280"/>
                <w:sz w:val="19"/>
              </w:rPr>
              <w:t>TVA (20 %)</w:t>
            </w:r>
          </w:p>
        </w:tc>
        <w:tc>
          <w:tcPr>
            <w:tcW w:type="dxa" w:w="1928"/>
          </w:tcPr>
          <w:p>
            <w:pPr>
              <w:jc w:val="right"/>
            </w:pPr>
            <w:r>
              <w:rPr>
                <w:b w:val="0"/>
                <w:i w:val="0"/>
                <w:sz w:val="19"/>
              </w:rPr>
              <w:t>700,00 €</w:t>
            </w:r>
          </w:p>
        </w:tc>
      </w:tr>
      <w:tr>
        <w:tc>
          <w:tcPr>
            <w:tcW w:type="dxa" w:w="2721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2"/>
              </w:rPr>
              <w:t>Total TTC</w:t>
            </w:r>
          </w:p>
        </w:tc>
        <w:tc>
          <w:tcPr>
            <w:tcW w:type="dxa" w:w="1928"/>
            <w:tcBorders>
              <w:top w:val="single" w:sz="8" w:space="0" w:color="0D9488"/>
            </w:tcBorders>
          </w:tcPr>
          <w:p>
            <w:pPr>
              <w:jc w:val="right"/>
            </w:pPr>
            <w:r>
              <w:rPr>
                <w:b/>
                <w:i w:val="0"/>
                <w:color w:val="0D9488"/>
                <w:sz w:val="26"/>
              </w:rPr>
              <w:t>4 200,00 €</w:t>
            </w:r>
          </w:p>
        </w:tc>
      </w:tr>
    </w:tbl>
    <w:p>
      <w:pPr>
        <w:spacing w:after="8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shd w:val="clear" w:color="auto" w:fill="EEF2F7"/>
          </w:tcPr>
          <w:p>
            <w:pPr>
              <w:spacing w:before="120"/>
            </w:pPr>
            <w:r>
              <w:rPr>
                <w:b/>
                <w:i w:val="0"/>
                <w:color w:val="0D9488"/>
                <w:sz w:val="20"/>
              </w:rPr>
              <w:t>Conditions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Acompte de 40 % à la signature, solde à la remise du plan.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sz w:val="19"/>
              </w:rPr>
              <w:t>Réalisation sous 4 semaines.</w:t>
            </w:r>
          </w:p>
          <w:p>
            <w:pPr>
              <w:spacing w:after="80"/>
            </w:pPr>
          </w:p>
        </w:tc>
      </w:tr>
    </w:tbl>
    <w:p>
      <w:pPr>
        <w:spacing w:after="80"/>
      </w:pP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100"/>
        <w:gridCol w:w="5100"/>
      </w:tblGrid>
      <w:tr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Bon pour accord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 w:val="0"/>
                <w:color w:val="6B7280"/>
                <w:sz w:val="19"/>
              </w:rPr>
              <w:t>Date : ……… / ……… / …………</w:t>
            </w:r>
          </w:p>
        </w:tc>
        <w:tc>
          <w:tcPr>
            <w:tcW w:type="dxa" w:w="5102"/>
          </w:tcPr>
          <w:p/>
          <w:p>
            <w:pPr>
              <w:spacing w:after="20" w:before="0"/>
              <w:jc w:val="left"/>
            </w:pPr>
            <w:r>
              <w:rPr>
                <w:b/>
                <w:i w:val="0"/>
                <w:color w:val="0D9488"/>
                <w:sz w:val="20"/>
              </w:rPr>
              <w:t>Signature du client</w:t>
            </w:r>
          </w:p>
          <w:p>
            <w:pPr>
              <w:spacing w:after="20" w:before="0"/>
              <w:jc w:val="left"/>
            </w:pPr>
            <w:r>
              <w:rPr>
                <w:b w:val="0"/>
                <w:i/>
                <w:color w:val="6B7280"/>
                <w:sz w:val="17"/>
              </w:rPr>
              <w:t>(mention « Bon pour accord »)</w:t>
            </w:r>
          </w:p>
        </w:tc>
      </w:tr>
    </w:tbl>
    <w:p>
      <w:pPr>
        <w:spacing w:after="40"/>
      </w:pP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Devis gratuit, valable [30 jours / 3 mois] à compter de sa date d’émission.</w:t>
      </w:r>
    </w:p>
    <w:p>
      <w:pPr>
        <w:spacing w:after="20" w:before="0"/>
        <w:jc w:val="left"/>
      </w:pPr>
      <w:r>
        <w:rPr>
          <w:b w:val="0"/>
          <w:i w:val="0"/>
          <w:color w:val="6B7280"/>
          <w:sz w:val="16"/>
        </w:rPr>
        <w:t>•  Le devis vaut contrat une fois retourné daté et signé avec la mention « Bon pour accord ».</w:t>
      </w:r>
    </w:p>
    <w:p>
      <w:pPr>
        <w:spacing w:after="80" w:before="40"/>
        <w:jc w:val="center"/>
      </w:pPr>
      <w:r>
        <w:rPr>
          <w:b w:val="0"/>
          <w:i/>
          <w:color w:val="6B7280"/>
          <w:sz w:val="15"/>
        </w:rPr>
        <w:t>Modèle — remplacez les informations d’exemple par les vôtres.</w:t>
      </w:r>
    </w:p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