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5953"/>
          </w:tcPr>
          <w:p>
            <w:r>
              <w:rPr>
                <w:b/>
                <w:i w:val="0"/>
                <w:color w:val="1E2935"/>
                <w:sz w:val="34"/>
              </w:rPr>
              <w:t>Net Services</w:t>
            </w:r>
          </w:p>
          <w:p>
            <w:pPr>
              <w:spacing w:after="100" w:before="0"/>
              <w:jc w:val="left"/>
            </w:pPr>
            <w:r>
              <w:rPr>
                <w:b w:val="0"/>
                <w:i/>
                <w:color w:val="6B7280"/>
                <w:sz w:val="20"/>
              </w:rPr>
              <w:t>Propreté &amp; entretien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7"/>
              </w:rPr>
              <w:t>16 rue de l’Industrie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7"/>
              </w:rPr>
              <w:t>59000 Lille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7"/>
              </w:rPr>
              <w:t>SIRET 803 447 219 00031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7"/>
              </w:rPr>
              <w:t>TVA FR 21 803447219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7"/>
              </w:rPr>
              <w:t>contact@netservices.fr</w:t>
            </w:r>
          </w:p>
        </w:tc>
        <w:tc>
          <w:tcPr>
            <w:tcW w:type="dxa" w:w="4252"/>
          </w:tcPr>
          <w:p>
            <w:pPr>
              <w:jc w:val="right"/>
            </w:pPr>
            <w:r>
              <w:rPr>
                <w:b/>
                <w:i w:val="0"/>
                <w:color w:val="0D9488"/>
                <w:sz w:val="50"/>
              </w:rPr>
              <w:t>Modèle de devis nettoyage (contrat d'entretien) — Word &amp; Excel</w:t>
            </w: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2126"/>
              <w:gridCol w:w="2126"/>
            </w:tblGrid>
            <w:tr>
              <w:tc>
                <w:tcPr>
                  <w:tcW w:type="dxa" w:w="1928"/>
                </w:tcPr>
                <w:p>
                  <w:pPr>
                    <w:jc w:val="right"/>
                  </w:pPr>
                  <w:r>
                    <w:rPr>
                      <w:b w:val="0"/>
                      <w:i w:val="0"/>
                      <w:color w:val="6B7280"/>
                      <w:sz w:val="17"/>
                    </w:rPr>
                    <w:t>N° de devis</w:t>
                  </w:r>
                </w:p>
              </w:tc>
              <w:tc>
                <w:tcPr>
                  <w:tcW w:type="dxa" w:w="2268"/>
                </w:tcPr>
                <w:p>
                  <w:pPr>
                    <w:jc w:val="right"/>
                  </w:pPr>
                  <w:r>
                    <w:rPr>
                      <w:b/>
                      <w:i w:val="0"/>
                      <w:color w:val="0D9488"/>
                      <w:sz w:val="19"/>
                    </w:rPr>
                    <w:t>D-2026-EXE</w:t>
                  </w:r>
                </w:p>
              </w:tc>
            </w:tr>
            <w:tr>
              <w:tc>
                <w:tcPr>
                  <w:tcW w:type="dxa" w:w="1928"/>
                </w:tcPr>
                <w:p>
                  <w:pPr>
                    <w:jc w:val="right"/>
                  </w:pPr>
                  <w:r>
                    <w:rPr>
                      <w:b w:val="0"/>
                      <w:i w:val="0"/>
                      <w:color w:val="6B7280"/>
                      <w:sz w:val="17"/>
                    </w:rPr>
                    <w:t>Date</w:t>
                  </w:r>
                </w:p>
              </w:tc>
              <w:tc>
                <w:tcPr>
                  <w:tcW w:type="dxa" w:w="2268"/>
                </w:tcPr>
                <w:p>
                  <w:pPr>
                    <w:jc w:val="right"/>
                  </w:pPr>
                  <w:r>
                    <w:rPr>
                      <w:b/>
                      <w:i w:val="0"/>
                      <w:color w:val="0D9488"/>
                      <w:sz w:val="19"/>
                    </w:rPr>
                    <w:t>15/07/2026</w:t>
                  </w:r>
                </w:p>
              </w:tc>
            </w:tr>
            <w:tr>
              <w:tc>
                <w:tcPr>
                  <w:tcW w:type="dxa" w:w="1928"/>
                </w:tcPr>
                <w:p>
                  <w:pPr>
                    <w:jc w:val="right"/>
                  </w:pPr>
                  <w:r>
                    <w:rPr>
                      <w:b w:val="0"/>
                      <w:i w:val="0"/>
                      <w:color w:val="6B7280"/>
                      <w:sz w:val="17"/>
                    </w:rPr>
                    <w:t>Validité</w:t>
                  </w:r>
                </w:p>
              </w:tc>
              <w:tc>
                <w:tcPr>
                  <w:tcW w:type="dxa" w:w="2268"/>
                </w:tcPr>
                <w:p>
                  <w:pPr>
                    <w:jc w:val="right"/>
                  </w:pPr>
                  <w:r>
                    <w:rPr>
                      <w:b/>
                      <w:i w:val="0"/>
                      <w:color w:val="0D9488"/>
                      <w:sz w:val="19"/>
                    </w:rPr>
                    <w:t>30 jours</w:t>
                  </w:r>
                </w:p>
              </w:tc>
            </w:tr>
          </w:tbl>
          <w:p/>
        </w:tc>
      </w:tr>
    </w:tbl>
    <w:p>
      <w:pPr>
        <w:spacing w:after="4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5953"/>
          </w:tcPr>
          <w:p/>
          <w:p>
            <w:pPr>
              <w:spacing w:after="40" w:before="0"/>
              <w:jc w:val="left"/>
            </w:pPr>
            <w:r>
              <w:rPr>
                <w:b/>
                <w:i w:val="0"/>
                <w:color w:val="6B7280"/>
                <w:sz w:val="17"/>
              </w:rPr>
              <w:t>ÉTABLI POUR</w:t>
            </w:r>
          </w:p>
          <w:p>
            <w:pPr>
              <w:spacing w:after="20" w:before="0"/>
              <w:jc w:val="left"/>
            </w:pPr>
            <w:r>
              <w:rPr>
                <w:b/>
                <w:i w:val="0"/>
                <w:color w:val="0D9488"/>
                <w:sz w:val="24"/>
              </w:rPr>
              <w:t>Cabinet Verdier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40 boulevard de la Liberté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59000 Lille</w:t>
            </w:r>
          </w:p>
        </w:tc>
        <w:tc>
          <w:tcPr>
            <w:tcW w:type="dxa" w:w="4252"/>
            <w:shd w:val="clear" w:color="auto" w:fill="0D9488"/>
          </w:tcPr>
          <w:p>
            <w:pPr>
              <w:spacing w:before="120"/>
              <w:jc w:val="center"/>
            </w:pPr>
            <w:r>
              <w:rPr>
                <w:b/>
                <w:i w:val="0"/>
                <w:color w:val="FFFFFF"/>
                <w:sz w:val="18"/>
              </w:rPr>
              <w:t>MONTANT DU DEVIS</w:t>
            </w:r>
          </w:p>
          <w:p>
            <w:pPr>
              <w:spacing w:after="40" w:before="0"/>
              <w:jc w:val="center"/>
            </w:pPr>
            <w:r>
              <w:rPr>
                <w:b/>
                <w:i w:val="0"/>
                <w:color w:val="FFFFFF"/>
                <w:sz w:val="40"/>
              </w:rPr>
              <w:t>1 524,00 €</w:t>
            </w:r>
          </w:p>
          <w:p>
            <w:pPr>
              <w:spacing w:after="120" w:before="0"/>
              <w:jc w:val="center"/>
            </w:pPr>
            <w:r>
              <w:rPr>
                <w:b w:val="0"/>
                <w:i w:val="0"/>
                <w:color w:val="A3D6D1"/>
                <w:sz w:val="17"/>
              </w:rPr>
              <w:t>valable 30 jours</w:t>
            </w:r>
          </w:p>
        </w:tc>
      </w:tr>
    </w:tbl>
    <w:p>
      <w:pPr>
        <w:spacing w:after="4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5329"/>
            <w:shd w:val="clear" w:color="auto" w:fill="0D9488"/>
          </w:tcPr>
          <w:p>
            <w:pPr>
              <w:spacing w:before="60" w:after="60"/>
              <w:jc w:val="left"/>
            </w:pPr>
            <w:r>
              <w:rPr>
                <w:b/>
                <w:i w:val="0"/>
                <w:color w:val="FFFFFF"/>
                <w:sz w:val="18"/>
              </w:rPr>
              <w:t>Désignation</w:t>
            </w:r>
          </w:p>
        </w:tc>
        <w:tc>
          <w:tcPr>
            <w:tcW w:type="dxa" w:w="907"/>
            <w:shd w:val="clear" w:color="auto" w:fill="0D9488"/>
          </w:tcPr>
          <w:p>
            <w:pPr>
              <w:spacing w:before="60" w:after="60"/>
              <w:jc w:val="center"/>
            </w:pPr>
            <w:r>
              <w:rPr>
                <w:b/>
                <w:i w:val="0"/>
                <w:color w:val="FFFFFF"/>
                <w:sz w:val="18"/>
              </w:rPr>
              <w:t>Qté</w:t>
            </w:r>
          </w:p>
        </w:tc>
        <w:tc>
          <w:tcPr>
            <w:tcW w:type="dxa" w:w="1474"/>
            <w:shd w:val="clear" w:color="auto" w:fill="0D9488"/>
          </w:tcPr>
          <w:p>
            <w:pPr>
              <w:spacing w:before="60" w:after="60"/>
              <w:jc w:val="right"/>
            </w:pPr>
            <w:r>
              <w:rPr>
                <w:b/>
                <w:i w:val="0"/>
                <w:color w:val="FFFFFF"/>
                <w:sz w:val="18"/>
              </w:rPr>
              <w:t>P.U. HT</w:t>
            </w:r>
          </w:p>
        </w:tc>
        <w:tc>
          <w:tcPr>
            <w:tcW w:type="dxa" w:w="1020"/>
            <w:shd w:val="clear" w:color="auto" w:fill="0D9488"/>
          </w:tcPr>
          <w:p>
            <w:pPr>
              <w:spacing w:before="60" w:after="60"/>
              <w:jc w:val="center"/>
            </w:pPr>
            <w:r>
              <w:rPr>
                <w:b/>
                <w:i w:val="0"/>
                <w:color w:val="FFFFFF"/>
                <w:sz w:val="18"/>
              </w:rPr>
              <w:t>TVA</w:t>
            </w:r>
          </w:p>
        </w:tc>
        <w:tc>
          <w:tcPr>
            <w:tcW w:type="dxa" w:w="1474"/>
            <w:shd w:val="clear" w:color="auto" w:fill="0D9488"/>
          </w:tcPr>
          <w:p>
            <w:pPr>
              <w:spacing w:before="60" w:after="60"/>
              <w:jc w:val="right"/>
            </w:pPr>
            <w:r>
              <w:rPr>
                <w:b/>
                <w:i w:val="0"/>
                <w:color w:val="FFFFFF"/>
                <w:sz w:val="18"/>
              </w:rPr>
              <w:t>Total HT</w:t>
            </w:r>
          </w:p>
        </w:tc>
      </w:tr>
      <w:tr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left"/>
            </w:pPr>
            <w:r>
              <w:rPr>
                <w:b/>
                <w:i w:val="0"/>
                <w:color w:val="0D9488"/>
                <w:sz w:val="19"/>
              </w:rPr>
              <w:t>Entretien courant des bureaux et open spaces (450 m², 3 passages/semaine)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 mois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720,00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20 %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720,00</w:t>
            </w:r>
          </w:p>
        </w:tc>
      </w:tr>
      <w:tr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left"/>
            </w:pPr>
            <w:r>
              <w:rPr>
                <w:b/>
                <w:i w:val="0"/>
                <w:color w:val="0D9488"/>
                <w:sz w:val="19"/>
              </w:rPr>
              <w:t>Nettoyage et désinfection des sanitaires (3 passages/semaine)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 mois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190,00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20 %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190,00</w:t>
            </w:r>
          </w:p>
        </w:tc>
      </w:tr>
      <w:tr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left"/>
            </w:pPr>
            <w:r>
              <w:rPr>
                <w:b/>
                <w:i w:val="0"/>
                <w:color w:val="0D9488"/>
                <w:sz w:val="19"/>
              </w:rPr>
              <w:t>Nettoyage des sols durs et moquettes (aspiration + lavage)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 mois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160,00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20 %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160,00</w:t>
            </w:r>
          </w:p>
        </w:tc>
      </w:tr>
      <w:tr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left"/>
            </w:pPr>
            <w:r>
              <w:rPr>
                <w:b/>
                <w:i w:val="0"/>
                <w:color w:val="0D9488"/>
                <w:sz w:val="19"/>
              </w:rPr>
              <w:t>Nettoyage de la vitrerie intérieure et extérieure (1 passage/mois)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 forfait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130,00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20 %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130,00</w:t>
            </w:r>
          </w:p>
        </w:tc>
      </w:tr>
      <w:tr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left"/>
            </w:pPr>
            <w:r>
              <w:rPr>
                <w:b/>
                <w:i w:val="0"/>
                <w:color w:val="0D9488"/>
                <w:sz w:val="19"/>
              </w:rPr>
              <w:t>Fournitures et consommables sanitaires (papier, savon, sacs)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 mois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70,00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20 %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70,00</w:t>
            </w:r>
          </w:p>
        </w:tc>
      </w:tr>
    </w:tbl>
    <w:p>
      <w:pPr>
        <w:spacing w:after="40"/>
      </w:pPr>
    </w:p>
    <w:tbl>
      <w:tblPr>
        <w:tblW w:type="auto" w:w="0"/>
        <w:tblLayout w:type="fixed"/>
        <w:tblLook w:firstColumn="1" w:firstRow="1" w:lastColumn="0" w:lastRow="0" w:noHBand="0" w:noVBand="1" w:val="04A0"/>
        <w:jc w:val="righ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2721"/>
          </w:tcPr>
          <w:p>
            <w:pPr>
              <w:jc w:val="right"/>
            </w:pPr>
            <w:r>
              <w:rPr>
                <w:b w:val="0"/>
                <w:i w:val="0"/>
                <w:color w:val="6B7280"/>
                <w:sz w:val="19"/>
              </w:rPr>
              <w:t>Total HT</w:t>
            </w:r>
          </w:p>
        </w:tc>
        <w:tc>
          <w:tcPr>
            <w:tcW w:type="dxa" w:w="1928"/>
          </w:tcPr>
          <w:p>
            <w:pPr>
              <w:jc w:val="right"/>
            </w:pPr>
            <w:r>
              <w:rPr>
                <w:b w:val="0"/>
                <w:i w:val="0"/>
                <w:sz w:val="19"/>
              </w:rPr>
              <w:t>1 270,00 €</w:t>
            </w:r>
          </w:p>
        </w:tc>
      </w:tr>
      <w:tr>
        <w:tc>
          <w:tcPr>
            <w:tcW w:type="dxa" w:w="2721"/>
          </w:tcPr>
          <w:p>
            <w:pPr>
              <w:jc w:val="right"/>
            </w:pPr>
            <w:r>
              <w:rPr>
                <w:b w:val="0"/>
                <w:i w:val="0"/>
                <w:color w:val="6B7280"/>
                <w:sz w:val="19"/>
              </w:rPr>
              <w:t>TVA (20 %)</w:t>
            </w:r>
          </w:p>
        </w:tc>
        <w:tc>
          <w:tcPr>
            <w:tcW w:type="dxa" w:w="1928"/>
          </w:tcPr>
          <w:p>
            <w:pPr>
              <w:jc w:val="right"/>
            </w:pPr>
            <w:r>
              <w:rPr>
                <w:b w:val="0"/>
                <w:i w:val="0"/>
                <w:sz w:val="19"/>
              </w:rPr>
              <w:t>254,00 €</w:t>
            </w:r>
          </w:p>
        </w:tc>
      </w:tr>
      <w:tr>
        <w:tc>
          <w:tcPr>
            <w:tcW w:type="dxa" w:w="2721"/>
            <w:tcBorders>
              <w:top w:val="single" w:sz="8" w:space="0" w:color="0D9488"/>
            </w:tcBorders>
          </w:tcPr>
          <w:p>
            <w:pPr>
              <w:jc w:val="right"/>
            </w:pPr>
            <w:r>
              <w:rPr>
                <w:b/>
                <w:i w:val="0"/>
                <w:color w:val="0D9488"/>
                <w:sz w:val="22"/>
              </w:rPr>
              <w:t>Total TTC</w:t>
            </w:r>
          </w:p>
        </w:tc>
        <w:tc>
          <w:tcPr>
            <w:tcW w:type="dxa" w:w="1928"/>
            <w:tcBorders>
              <w:top w:val="single" w:sz="8" w:space="0" w:color="0D9488"/>
            </w:tcBorders>
          </w:tcPr>
          <w:p>
            <w:pPr>
              <w:jc w:val="right"/>
            </w:pPr>
            <w:r>
              <w:rPr>
                <w:b/>
                <w:i w:val="0"/>
                <w:color w:val="0D9488"/>
                <w:sz w:val="26"/>
              </w:rPr>
              <w:t>1 524,00 €</w:t>
            </w:r>
          </w:p>
        </w:tc>
      </w:tr>
    </w:tbl>
    <w:p>
      <w:pPr>
        <w:spacing w:after="8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shd w:val="clear" w:color="auto" w:fill="EEF2F7"/>
          </w:tcPr>
          <w:p>
            <w:pPr>
              <w:spacing w:before="120"/>
            </w:pPr>
            <w:r>
              <w:rPr>
                <w:b/>
                <w:i w:val="0"/>
                <w:color w:val="0D9488"/>
                <w:sz w:val="20"/>
              </w:rPr>
              <w:t>Conditions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Acompte de 30 % à la commande, solde à la fin des travaux.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Prix fermes pendant la durée de validité du devis.</w:t>
            </w:r>
          </w:p>
          <w:p>
            <w:pPr>
              <w:spacing w:after="80"/>
            </w:pPr>
          </w:p>
        </w:tc>
      </w:tr>
    </w:tbl>
    <w:p>
      <w:pPr>
        <w:spacing w:after="8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5102"/>
          </w:tcPr>
          <w:p/>
          <w:p>
            <w:pPr>
              <w:spacing w:after="20" w:before="0"/>
              <w:jc w:val="left"/>
            </w:pPr>
            <w:r>
              <w:rPr>
                <w:b/>
                <w:i w:val="0"/>
                <w:color w:val="0D9488"/>
                <w:sz w:val="20"/>
              </w:rPr>
              <w:t>Bon pour accord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9"/>
              </w:rPr>
              <w:t>Date : ……… / ……… / …………</w:t>
            </w:r>
          </w:p>
        </w:tc>
        <w:tc>
          <w:tcPr>
            <w:tcW w:type="dxa" w:w="5102"/>
          </w:tcPr>
          <w:p/>
          <w:p>
            <w:pPr>
              <w:spacing w:after="20" w:before="0"/>
              <w:jc w:val="left"/>
            </w:pPr>
            <w:r>
              <w:rPr>
                <w:b/>
                <w:i w:val="0"/>
                <w:color w:val="0D9488"/>
                <w:sz w:val="20"/>
              </w:rPr>
              <w:t>Signature du client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/>
                <w:color w:val="6B7280"/>
                <w:sz w:val="17"/>
              </w:rPr>
              <w:t>(mention « Bon pour accord »)</w:t>
            </w:r>
          </w:p>
        </w:tc>
      </w:tr>
    </w:tbl>
    <w:p>
      <w:pPr>
        <w:spacing w:after="40"/>
      </w:pPr>
    </w:p>
    <w:p>
      <w:pPr>
        <w:spacing w:after="20" w:before="0"/>
        <w:jc w:val="left"/>
      </w:pPr>
      <w:r>
        <w:rPr>
          <w:b w:val="0"/>
          <w:i w:val="0"/>
          <w:color w:val="6B7280"/>
          <w:sz w:val="16"/>
        </w:rPr>
        <w:t>•  Devis gratuit, valable 30 jours à compter de sa date d’émission.</w:t>
      </w:r>
    </w:p>
    <w:p>
      <w:pPr>
        <w:spacing w:after="20" w:before="0"/>
        <w:jc w:val="left"/>
      </w:pPr>
      <w:r>
        <w:rPr>
          <w:b w:val="0"/>
          <w:i w:val="0"/>
          <w:color w:val="6B7280"/>
          <w:sz w:val="16"/>
        </w:rPr>
        <w:t>•  Le devis vaut contrat une fois retourné daté et signé avec la mention « Bon pour accord ».</w:t>
      </w:r>
    </w:p>
    <w:p>
      <w:pPr>
        <w:spacing w:after="80" w:before="40"/>
        <w:jc w:val="center"/>
      </w:pPr>
      <w:r>
        <w:rPr>
          <w:b w:val="0"/>
          <w:i/>
          <w:color w:val="6B7280"/>
          <w:sz w:val="15"/>
        </w:rPr>
        <w:t>Modèle — remplacez les informations d’exemple par les vôtres.</w:t>
      </w:r>
    </w:p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