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2F7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315A76"/>
                <w:sz w:val="24"/>
              </w:rPr>
              <w:t>Métropole Services — organisme fictif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31 rue des Fleurs, 67000 Strasbourg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2F7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315A76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ATT-MODELE-A-02-2026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315A76"/>
          <w:sz w:val="30"/>
        </w:rPr>
        <w:t>ATTESTATION DE PRÉSENCE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Présence à une formation interne</w:t>
      </w:r>
    </w:p>
    <w:p>
      <w:pPr>
        <w:spacing w:after="120"/>
      </w:pPr>
      <w:r>
        <w:rPr>
          <w:rFonts w:ascii="Calibri" w:hAnsi="Calibri"/>
          <w:b w:val="0"/>
        </w:rPr>
        <w:t>Je soussigné(e), Sofia Marchand, coordinatrice prévention, habilité(e) à établir le présent document au vu des pièces conservées par l’émetteur, atteste les informations suivantes.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Personne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Maxime Robert, agent logistique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Lieu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salle Alsace, siège de Strasbourg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Période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le 7 juillet 2026 de 9 h à 12 h 30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Source de contrôle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feuille d’émargement du module Gestes et postures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15A76"/>
                <w:sz w:val="17"/>
              </w:rPr>
              <w:t>Portée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confirme la présence ; aucun résultat d’évaluation n’est attesté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315A76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copie de l’émargement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programme du module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315A76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Sofia Marchand, coordinatrice prévention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