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AF3EE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2E5F47"/>
                <w:sz w:val="24"/>
              </w:rPr>
              <w:t>Studio Rivage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14 boulevard Gambetta, 06000 Nice — SIRET fictif 889 410 226 00014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AF3EE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2E5F47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ATT-MODELE-A-02-2026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2E5F47"/>
          <w:sz w:val="30"/>
        </w:rPr>
        <w:t>ATTESTATION DE PAIEMENT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Acompte sur prestation</w:t>
      </w:r>
    </w:p>
    <w:p>
      <w:pPr>
        <w:spacing w:after="100"/>
        <w:jc w:val="right"/>
      </w:pPr>
      <w:r>
        <w:rPr>
          <w:rFonts w:ascii="Calibri" w:hAnsi="Calibri"/>
          <w:b/>
          <w:sz w:val="17"/>
        </w:rPr>
        <w:t>Destinataire : M. Nicolas Guérin</w:t>
      </w:r>
    </w:p>
    <w:p>
      <w:pPr>
        <w:spacing w:after="120"/>
      </w:pPr>
      <w:r>
        <w:rPr>
          <w:rFonts w:ascii="Calibri" w:hAnsi="Calibri"/>
          <w:b/>
          <w:color w:val="2E5F47"/>
        </w:rPr>
        <w:t xml:space="preserve">Objet : </w:t>
      </w:r>
      <w:r>
        <w:rPr>
          <w:rFonts w:ascii="Calibri" w:hAnsi="Calibri"/>
          <w:b/>
        </w:rPr>
        <w:t>Acompte sur devis SR-2026-074</w:t>
      </w:r>
    </w:p>
    <w:p>
      <w:pPr>
        <w:spacing w:after="120"/>
      </w:pPr>
      <w:r>
        <w:rPr>
          <w:rFonts w:ascii="Calibri" w:hAnsi="Calibri"/>
          <w:b w:val="0"/>
        </w:rPr>
        <w:t>Je soussigné(e), Studio Rivage, habilité(e) à établir le présent document au vu des pièces conservées par l’émetteur, atteste les informations suivantes.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3EE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E5F47"/>
                <w:sz w:val="17"/>
              </w:rPr>
              <w:t>Payeur / destinataire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M. Nicolas Guérin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3EE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E5F47"/>
                <w:sz w:val="17"/>
              </w:rPr>
              <w:t>Somme reçue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600,00 € (six cents euros)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3EE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E5F47"/>
                <w:sz w:val="17"/>
              </w:rPr>
              <w:t>Mode et date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carte bancaire encaissée le 11 juillet 2026, ticket CB 7714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3EE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E5F47"/>
                <w:sz w:val="17"/>
              </w:rPr>
              <w:t>Imputation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acompte sur un prix total de 1 800 € ; solde de 1 200 € exigible après livraison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2E5F47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devis signé SR-2026-074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ticket d’encaissement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2E5F47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Studio Rivage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