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EF0F4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4E5668"/>
                <w:sz w:val="24"/>
              </w:rPr>
              <w:t>Pierre Renaud, propriétaire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9 avenue Foch, 54000 Nancy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EF0F4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4E5668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4E5668"/>
          <w:sz w:val="30"/>
        </w:rPr>
        <w:t>ATTESTATION DE SITUATION LOCATIVE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Attestation de situation avec régularisation en cours</w:t>
      </w:r>
    </w:p>
    <w:p>
      <w:pPr>
        <w:spacing w:after="120"/>
      </w:pPr>
      <w:r>
        <w:rPr>
          <w:rFonts w:ascii="Calibri" w:hAnsi="Calibri"/>
          <w:b w:val="0"/>
        </w:rPr>
        <w:t>Je soussigné(e), Pierre Renaud, propriétaire,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Locataire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Léa Aubert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Logement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20 rue de la Monnaie, 10000 Troyes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Période contrôlée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bail commencé le 5 janvier 2025 ; situation au 10 juillet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Situation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loyers et provisions mensuelles encaissés ; régularisation annuelle 2025 non encore arrêtée et donc exclue de la présente déclaration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6"/>
              </w:rPr>
              <w:t>Cette attestation décrit une situation locative. Elle ne remplace pas la quittance détaillée lorsque celle-ci est demandée, ni le reçu obligatoire en cas de paiement partiel.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4E5668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échéancier 2026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information sur la régularisation à venir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4E5668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Pierre Renaud, propriétaire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