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050"/>
        <w:gridCol w:w="3310"/>
      </w:tblGrid>
      <w:tr>
        <w:tc>
          <w:tcPr>
            <w:tcW w:type="dxa" w:w="6050"/>
            <w:tcMar>
              <w:top w:w="110" w:type="dxa"/>
              <w:start w:w="140" w:type="dxa"/>
              <w:bottom w:w="100" w:type="dxa"/>
              <w:end w:w="140" w:type="dxa"/>
            </w:tcMar>
            <w:shd w:fill="F6EDF4"/>
            <w:vAlign w:val="center"/>
          </w:tcPr>
          <w:p>
            <w:pPr>
              <w:spacing w:after="40"/>
            </w:pPr>
            <w:r>
              <w:rPr>
                <w:rFonts w:ascii="Calibri" w:hAnsi="Calibri"/>
                <w:b/>
                <w:color w:val="6B3F63"/>
                <w:sz w:val="24"/>
              </w:rPr>
              <w:t>Élodie Garnier, Thomas Leroy</w:t>
            </w:r>
          </w:p>
          <w:p>
            <w:pPr>
              <w:spacing w:after="0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29 boulevard de la Liberté, 59000 Lille</w:t>
            </w:r>
          </w:p>
        </w:tc>
        <w:tc>
          <w:tcPr>
            <w:tcW w:type="dxa" w:w="3310"/>
            <w:tcMar>
              <w:top w:w="110" w:type="dxa"/>
              <w:start w:w="140" w:type="dxa"/>
              <w:bottom w:w="100" w:type="dxa"/>
              <w:end w:w="140" w:type="dxa"/>
            </w:tcMar>
            <w:shd w:fill="F6EDF4"/>
            <w:vAlign w:val="center"/>
          </w:tcPr>
          <w:p>
            <w:pPr>
              <w:spacing w:after="40"/>
              <w:jc w:val="right"/>
            </w:pPr>
            <w:r>
              <w:rPr>
                <w:rFonts w:ascii="Calibri" w:hAnsi="Calibri"/>
                <w:b/>
                <w:color w:val="6B3F63"/>
                <w:sz w:val="15"/>
              </w:rPr>
              <w:t>RÉFÉRENCE</w:t>
            </w:r>
          </w:p>
          <w:p>
            <w:pPr>
              <w:spacing w:after="20"/>
              <w:jc w:val="right"/>
            </w:pPr>
            <w:r>
              <w:rPr>
                <w:rFonts w:ascii="Calibri" w:hAnsi="Calibri"/>
                <w:b/>
                <w:sz w:val="18"/>
              </w:rPr>
              <w:t>ATT-ATTESTAT-01-2026</w:t>
            </w:r>
          </w:p>
          <w:p>
            <w:pPr>
              <w:spacing w:after="0"/>
              <w:jc w:val="right"/>
            </w:pPr>
            <w:r>
              <w:rPr>
                <w:rFonts w:ascii="Calibri" w:hAnsi="Calibri"/>
                <w:b w:val="0"/>
                <w:color w:val="52606D"/>
                <w:sz w:val="16"/>
              </w:rPr>
              <w:t>Établi le 18 juillet 2026</w:t>
            </w:r>
          </w:p>
        </w:tc>
      </w:tr>
    </w:tbl>
    <w:p>
      <w:pPr>
        <w:spacing w:before="200" w:after="40"/>
        <w:jc w:val="center"/>
      </w:pPr>
      <w:r>
        <w:rPr>
          <w:rFonts w:ascii="Calibri" w:hAnsi="Calibri"/>
          <w:b/>
          <w:color w:val="6B3F63"/>
          <w:sz w:val="30"/>
        </w:rPr>
        <w:t>ATTESTATION SUR L’HONNEUR DE VIE COMMUNE</w:t>
      </w:r>
    </w:p>
    <w:p>
      <w:pPr>
        <w:spacing w:after="160"/>
        <w:jc w:val="center"/>
      </w:pPr>
      <w:r>
        <w:rPr>
          <w:rFonts w:ascii="Calibri" w:hAnsi="Calibri"/>
          <w:b/>
          <w:sz w:val="20"/>
        </w:rPr>
        <w:t>Déclaration conjointe pour une mutuelle</w:t>
      </w:r>
    </w:p>
    <w:p>
      <w:pPr>
        <w:spacing w:after="100"/>
        <w:jc w:val="right"/>
      </w:pPr>
      <w:r>
        <w:rPr>
          <w:rFonts w:ascii="Calibri" w:hAnsi="Calibri"/>
          <w:b/>
          <w:sz w:val="17"/>
        </w:rPr>
        <w:t>Destinataire : Mutuelle Nord Équilibre</w:t>
      </w:r>
    </w:p>
    <w:p>
      <w:pPr>
        <w:spacing w:after="120"/>
      </w:pPr>
      <w:r>
        <w:rPr>
          <w:rFonts w:ascii="Calibri" w:hAnsi="Calibri"/>
          <w:b/>
          <w:color w:val="6B3F63"/>
        </w:rPr>
        <w:t xml:space="preserve">Objet : </w:t>
      </w:r>
      <w:r>
        <w:rPr>
          <w:rFonts w:ascii="Calibri" w:hAnsi="Calibri"/>
          <w:b/>
        </w:rPr>
        <w:t>Vie commune depuis le 12 février 2024</w:t>
      </w:r>
    </w:p>
    <w:p>
      <w:pPr>
        <w:spacing w:after="120"/>
      </w:pPr>
      <w:r>
        <w:rPr>
          <w:rFonts w:ascii="Calibri" w:hAnsi="Calibri"/>
          <w:b w:val="0"/>
        </w:rPr>
        <w:t>Nous soussignés, Élodie Garnier et Thomas Leroy, domiciliés ensemble 29 boulevard de la Liberté, 59000 Lille, attestons sur l’honneur les faits suivants 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D5DAE0"/>
          <w:left w:val="single" w:sz="6" w:color="D5DAE0"/>
          <w:bottom w:val="single" w:sz="6" w:color="D5DAE0"/>
          <w:right w:val="single" w:sz="6" w:color="D5DAE0"/>
          <w:insideH w:val="single" w:sz="6" w:color="D5DAE0"/>
          <w:insideV w:val="single" w:sz="6" w:color="D5DAE0"/>
        </w:tblBorders>
      </w:tblPr>
      <w:tblGrid>
        <w:gridCol w:w="2450"/>
        <w:gridCol w:w="6910"/>
      </w:tblGrid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D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B3F63"/>
                <w:sz w:val="17"/>
              </w:rPr>
              <w:t>Déclarants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Élodie Garnier et Thomas Leroy</w:t>
            </w:r>
          </w:p>
        </w:tc>
      </w:tr>
      <w:tr>
        <w:tc>
          <w:tcPr>
            <w:tcW w:type="dxa" w:w="245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  <w:shd w:fill="F6EDF4"/>
          </w:tcPr>
          <w:p>
            <w:pPr>
              <w:spacing w:after="0"/>
            </w:pPr>
            <w:r>
              <w:rPr>
                <w:rFonts w:ascii="Calibri" w:hAnsi="Calibri"/>
                <w:b/>
                <w:color w:val="6B3F63"/>
                <w:sz w:val="17"/>
              </w:rPr>
              <w:t>Domicile commun</w:t>
            </w:r>
          </w:p>
        </w:tc>
        <w:tc>
          <w:tcPr>
            <w:tcW w:type="dxa" w:w="6910"/>
            <w:tcMar>
              <w:top w:w="72" w:type="dxa"/>
              <w:start w:w="110" w:type="dxa"/>
              <w:bottom w:w="72" w:type="dxa"/>
              <w:end w:w="110" w:type="dxa"/>
            </w:tcMar>
            <w:vAlign w:val="center"/>
          </w:tcPr>
          <w:p>
            <w:pPr>
              <w:spacing w:after="0"/>
            </w:pPr>
            <w:r>
              <w:rPr>
                <w:rFonts w:ascii="Calibri" w:hAnsi="Calibri"/>
                <w:b w:val="0"/>
                <w:sz w:val="17"/>
              </w:rPr>
              <w:t>29 boulevard de la Liberté, 59000 Lille</w:t>
            </w:r>
          </w:p>
        </w:tc>
      </w:tr>
    </w:tbl>
    <w:p>
      <w:pPr>
        <w:spacing w:before="140" w:after="60"/>
        <w:keepNext/>
      </w:pPr>
      <w:r>
        <w:rPr>
          <w:rFonts w:ascii="Calibri" w:hAnsi="Calibri"/>
          <w:b/>
          <w:color w:val="6B3F63"/>
          <w:sz w:val="20"/>
        </w:rPr>
        <w:t>Faits et précisions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résidence habituelle à la même adresse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partage des dépenses courantes</w:t>
      </w:r>
    </w:p>
    <w:p>
      <w:pPr>
        <w:pStyle w:val="ListBullet"/>
        <w:spacing w:after="50"/>
        <w:ind w:left="360" w:hanging="259"/>
      </w:pPr>
      <w:r>
        <w:rPr>
          <w:rFonts w:ascii="Calibri" w:hAnsi="Calibri"/>
          <w:b w:val="0"/>
          <w:sz w:val="18"/>
        </w:rPr>
        <w:t>déclaration établie pour l’étude du rattachement, sans prétendre à un Pacs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5300"/>
        <w:gridCol w:w="4060"/>
      </w:tblGrid>
      <w:tr>
        <w:tc>
          <w:tcPr>
            <w:tcW w:type="dxa" w:w="530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Calibri" w:hAnsi="Calibri"/>
                <w:b/>
                <w:color w:val="6B3F63"/>
                <w:sz w:val="18"/>
              </w:rPr>
              <w:t>Pièces référencées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facture d’énergie aux deux noms</w:t>
            </w:r>
          </w:p>
          <w:p>
            <w:pPr>
              <w:spacing w:after="30"/>
              <w:ind w:left="173" w:hanging="173"/>
            </w:pPr>
            <w:r>
              <w:rPr>
                <w:rFonts w:ascii="Calibri" w:hAnsi="Calibri"/>
                <w:b w:val="0"/>
                <w:sz w:val="16"/>
              </w:rPr>
              <w:t>• attestations d’assurance comportant la même adresse</w:t>
            </w:r>
          </w:p>
        </w:tc>
        <w:tc>
          <w:tcPr>
            <w:tcW w:type="dxa" w:w="4060"/>
            <w:tcMar>
              <w:top w:w="10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  <w:jc w:val="center"/>
            </w:pPr>
            <w:r>
              <w:rPr>
                <w:rFonts w:ascii="Calibri" w:hAnsi="Calibri"/>
                <w:b/>
                <w:color w:val="6B3F63"/>
                <w:sz w:val="18"/>
              </w:rPr>
              <w:t>Lu, certifié exact et signé</w:t>
            </w:r>
          </w:p>
          <w:p>
            <w:pPr>
              <w:spacing w:before="360" w:after="0"/>
              <w:jc w:val="center"/>
            </w:pPr>
            <w:r>
              <w:rPr>
                <w:rFonts w:ascii="Calibri" w:hAnsi="Calibri"/>
                <w:b/>
                <w:sz w:val="17"/>
              </w:rPr>
              <w:t>Signatures des deux parties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893" w:right="1037" w:bottom="83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6B7280"/>
        <w:sz w:val="15"/>
      </w:rPr>
      <w:t>Exemple rempli avec identités et références fictives — à adapter après vérification des faits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Calibri" w:hAnsi="Calibri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44C66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0"/>
      <w:contextualSpacing/>
    </w:pPr>
    <w:rPr>
      <w:rFonts w:asciiTheme="majorHAnsi" w:eastAsiaTheme="majorEastAsia" w:hAnsiTheme="majorHAnsi" w:cstheme="majorBidi" w:ascii="Calibri" w:hAnsi="Calibri"/>
      <w:b/>
      <w:color w:val="2E74B5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